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C9" w:rsidRDefault="00C036A3">
      <w:pPr>
        <w:spacing w:after="300" w:line="276" w:lineRule="auto"/>
        <w:jc w:val="center"/>
      </w:pPr>
      <w:r>
        <w:rPr>
          <w:rFonts w:ascii="Times New Roman" w:eastAsia="Times New Roman" w:hAnsi="Times New Roman" w:cs="Times New Roman"/>
          <w:b/>
          <w:sz w:val="26"/>
        </w:rPr>
        <w:t>Chi tiết thủ tục hành chính</w:t>
      </w:r>
    </w:p>
    <w:p w:rsidR="000448C9" w:rsidRDefault="00C036A3">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1.012590</w:t>
      </w:r>
    </w:p>
    <w:p w:rsidR="000448C9" w:rsidRDefault="00C036A3">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0448C9" w:rsidRDefault="00C036A3">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SINH HOẠT TÔN GIÁO TẬP TRUNG (CẤP XÃ(</w:t>
      </w:r>
    </w:p>
    <w:bookmarkEnd w:id="0"/>
    <w:p w:rsidR="000448C9" w:rsidRDefault="00C036A3">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448C9" w:rsidRDefault="00C036A3">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448C9" w:rsidRDefault="00C036A3">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0448C9" w:rsidRDefault="00C036A3">
      <w:pPr>
        <w:spacing w:after="0" w:line="276" w:lineRule="auto"/>
        <w:jc w:val="both"/>
      </w:pPr>
      <w:r>
        <w:rPr>
          <w:rFonts w:ascii="Times New Roman" w:eastAsia="Times New Roman" w:hAnsi="Times New Roman" w:cs="Times New Roman"/>
          <w:b/>
          <w:sz w:val="26"/>
        </w:rPr>
        <w:t xml:space="preserve">Trình tự thực hiện: </w:t>
      </w:r>
    </w:p>
    <w:p w:rsidR="000448C9" w:rsidRDefault="000448C9">
      <w:pPr>
        <w:shd w:val="clear" w:color="auto" w:fill="F2F6F9"/>
        <w:spacing w:before="120" w:after="0" w:line="276" w:lineRule="auto"/>
        <w:jc w:val="both"/>
      </w:pPr>
    </w:p>
    <w:p w:rsidR="000448C9" w:rsidRDefault="00C036A3">
      <w:pPr>
        <w:spacing w:after="0" w:line="276" w:lineRule="auto"/>
        <w:jc w:val="both"/>
      </w:pPr>
      <w:r>
        <w:rPr>
          <w:rFonts w:ascii="Times New Roman" w:eastAsia="Times New Roman" w:hAnsi="Times New Roman" w:cs="Times New Roman"/>
          <w:sz w:val="26"/>
        </w:rPr>
        <w:t xml:space="preserve">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w:t>
      </w:r>
      <w:r>
        <w:rPr>
          <w:rFonts w:ascii="Times New Roman" w:eastAsia="Times New Roman" w:hAnsi="Times New Roman" w:cs="Times New Roman"/>
          <w:sz w:val="26"/>
        </w:rPr>
        <w:t>đăng ký sinh hoạt tôn giáo tập trung đến Ủy ban nhân dân cấp xã nơi có địa điểm hợp pháp để sinh hoạt tôn giáo.</w:t>
      </w:r>
    </w:p>
    <w:p w:rsidR="000448C9" w:rsidRDefault="00C036A3">
      <w:pPr>
        <w:spacing w:after="0" w:line="276" w:lineRule="auto"/>
        <w:jc w:val="both"/>
      </w:pPr>
      <w:r>
        <w:rPr>
          <w:rFonts w:ascii="Times New Roman" w:eastAsia="Times New Roman" w:hAnsi="Times New Roman" w:cs="Times New Roman"/>
          <w:sz w:val="26"/>
        </w:rPr>
        <w:t>Bước 2: Ủy ban nhân dân cấp xã xem xét hồ sơ đăng ký, trường hợp hồ sơ chưa đầy đủ, hợp lệ, Ủy ban nhân dân cấp xã hướng dẫn t</w:t>
      </w:r>
      <w:r>
        <w:rPr>
          <w:rFonts w:ascii="Times New Roman" w:eastAsia="Times New Roman" w:hAnsi="Times New Roman" w:cs="Times New Roman"/>
          <w:sz w:val="26"/>
        </w:rPr>
        <w:t>rực tiếp hoặc thông báo qua thư điện tử, tin nhắn điện thoại hoặc văn bản cho tổ chức để bổ sung, hoàn thiện hồ sơ. Trường hợp từ chối tiếp nhận, giải quyết phải nêu rõ lý do. Thời gian hoàn thiện hồ sơ không tính vào thời hạn giải quyết.</w:t>
      </w:r>
    </w:p>
    <w:p w:rsidR="000448C9" w:rsidRDefault="00C036A3">
      <w:pPr>
        <w:spacing w:after="0" w:line="276" w:lineRule="auto"/>
        <w:jc w:val="both"/>
      </w:pPr>
      <w:r>
        <w:rPr>
          <w:rFonts w:ascii="Times New Roman" w:eastAsia="Times New Roman" w:hAnsi="Times New Roman" w:cs="Times New Roman"/>
          <w:sz w:val="26"/>
        </w:rPr>
        <w:t xml:space="preserve">Bước 3: Sau khi </w:t>
      </w:r>
      <w:r>
        <w:rPr>
          <w:rFonts w:ascii="Times New Roman" w:eastAsia="Times New Roman" w:hAnsi="Times New Roman" w:cs="Times New Roman"/>
          <w:sz w:val="26"/>
        </w:rPr>
        <w:t>thẩm định hồ sơ, Ủy ban nhân dân cấp xã chấp thuận hoặc không chấp thuận về việc đăng ký sinh hoạt tôn giáo tập trung và gửi kết quả giải quyết về Bộ phận Tiếp nhận và trả kết quả của Ủy ban nhân dân cấp xã để trả cho các tổ chức hoặc trả cho người đại d</w:t>
      </w:r>
      <w:r>
        <w:rPr>
          <w:rFonts w:ascii="Times New Roman" w:eastAsia="Times New Roman" w:hAnsi="Times New Roman" w:cs="Times New Roman"/>
          <w:sz w:val="26"/>
        </w:rPr>
        <w:t>iện nhóm sinh hoạt tôn giáo tập trung quy định tại khoản 2 Điều 16 của Luật tín ngưỡng, tôn giáo. Trường hợp không chấp thuận phải trả lời bằng văn bản và nêu rõ lý do.</w:t>
      </w:r>
    </w:p>
    <w:p w:rsidR="000448C9" w:rsidRDefault="00C036A3">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1"/>
        <w:gridCol w:w="894"/>
        <w:gridCol w:w="1137"/>
        <w:gridCol w:w="6529"/>
      </w:tblGrid>
      <w:tr w:rsidR="000448C9">
        <w:tblPrEx>
          <w:tblCellMar>
            <w:top w:w="0" w:type="dxa"/>
            <w:bottom w:w="0" w:type="dxa"/>
          </w:tblCellMar>
        </w:tblPrEx>
        <w:tc>
          <w:tcPr>
            <w:tcW w:w="15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Hình thức nộp</w:t>
            </w:r>
          </w:p>
        </w:tc>
        <w:tc>
          <w:tcPr>
            <w:tcW w:w="2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Phí, lệ phí</w:t>
            </w:r>
          </w:p>
        </w:tc>
        <w:tc>
          <w:tcPr>
            <w:tcW w:w="3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Mô tả</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t>tiếp</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20 Ngày</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Phí :  Đồng</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w:t>
            </w:r>
            <w:r>
              <w:rPr>
                <w:rFonts w:ascii="Times New Roman" w:eastAsia="Times New Roman" w:hAnsi="Times New Roman" w:cs="Times New Roman"/>
                <w:sz w:val="26"/>
              </w:rPr>
              <w:t xml:space="preserve"> trực tuyến. Ủy ban nhân dân cấp xã tiếp nhận hồ sơ đăng ký và có Giấy tiếp nhận hồ sơ và hẹn ngày trả kết quả. Nếu gửi qua </w:t>
            </w:r>
            <w:r>
              <w:rPr>
                <w:rFonts w:ascii="Times New Roman" w:eastAsia="Times New Roman" w:hAnsi="Times New Roman" w:cs="Times New Roman"/>
                <w:sz w:val="26"/>
              </w:rPr>
              <w:lastRenderedPageBreak/>
              <w:t>đường bưu chính, ngày tiếp nhận hồ sơ được tính theo ngày ghi trên dấu công văn đến.</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Trực tuyến</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20 Ngày</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Phí :  Đồng</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 xml:space="preserve">Nộp hồ sơ </w:t>
            </w:r>
            <w:r>
              <w:rPr>
                <w:rFonts w:ascii="Times New Roman" w:eastAsia="Times New Roman" w:hAnsi="Times New Roman" w:cs="Times New Roman"/>
                <w:sz w:val="26"/>
              </w:rPr>
              <w:t>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w:t>
            </w:r>
            <w:r>
              <w:rPr>
                <w:rFonts w:ascii="Times New Roman" w:eastAsia="Times New Roman" w:hAnsi="Times New Roman" w:cs="Times New Roman"/>
                <w:sz w:val="26"/>
              </w:rPr>
              <w:t>ếp nhận hồ sơ đăng ký và có Giấy tiếp nhận hồ sơ và hẹn ngày trả kết quả. Nếu gửi qua đường bưu chính, ngày tiếp nhận hồ sơ được tính theo ngày ghi trên dấu công văn đến.</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Dịch vụ bưu chính</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20 Ngày</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Phí :  Đồng</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 xml:space="preserve">Nộp hồ sơ trực tiếp tại Bộ phận Tiếp nhận </w:t>
            </w:r>
            <w:r>
              <w:rPr>
                <w:rFonts w:ascii="Times New Roman" w:eastAsia="Times New Roman" w:hAnsi="Times New Roman" w:cs="Times New Roman"/>
                <w:sz w:val="26"/>
              </w:rPr>
              <w:t>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và có Giấy</w:t>
            </w:r>
            <w:r>
              <w:rPr>
                <w:rFonts w:ascii="Times New Roman" w:eastAsia="Times New Roman" w:hAnsi="Times New Roman" w:cs="Times New Roman"/>
                <w:sz w:val="26"/>
              </w:rPr>
              <w:t xml:space="preserve"> tiếp nhận hồ sơ và hẹn ngày trả kết quả. Nếu gửi qua đường bưu chính, ngày tiếp nhận hồ sơ được tính theo ngày ghi trên dấu công văn đến.</w:t>
            </w:r>
          </w:p>
        </w:tc>
      </w:tr>
    </w:tbl>
    <w:p w:rsidR="000448C9" w:rsidRDefault="00C036A3">
      <w:pPr>
        <w:spacing w:before="240" w:after="0" w:line="276" w:lineRule="auto"/>
        <w:jc w:val="both"/>
      </w:pPr>
      <w:r>
        <w:rPr>
          <w:rFonts w:ascii="Times New Roman" w:eastAsia="Times New Roman" w:hAnsi="Times New Roman" w:cs="Times New Roman"/>
          <w:b/>
          <w:sz w:val="26"/>
        </w:rPr>
        <w:t xml:space="preserve">Thành phần hồ sơ: </w:t>
      </w:r>
    </w:p>
    <w:p w:rsidR="000448C9" w:rsidRDefault="00C036A3">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91"/>
        <w:gridCol w:w="1328"/>
        <w:gridCol w:w="1192"/>
      </w:tblGrid>
      <w:tr w:rsidR="000448C9">
        <w:tblPrEx>
          <w:tblCellMar>
            <w:top w:w="0" w:type="dxa"/>
            <w:bottom w:w="0" w:type="dxa"/>
          </w:tblCellMar>
        </w:tblPrEx>
        <w:tc>
          <w:tcPr>
            <w:tcW w:w="6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Tên giấy tờ</w:t>
            </w:r>
          </w:p>
        </w:tc>
        <w:tc>
          <w:tcPr>
            <w:tcW w:w="2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Mẫu đơn, tờ khai</w:t>
            </w:r>
          </w:p>
        </w:tc>
        <w:tc>
          <w:tcPr>
            <w:tcW w:w="2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Số lượng</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Văn bản đăng ký sinh hoạt tôn giáo tập trung</w:t>
            </w:r>
            <w:r>
              <w:rPr>
                <w:rFonts w:ascii="Times New Roman" w:eastAsia="Times New Roman" w:hAnsi="Times New Roman" w:cs="Times New Roman"/>
                <w:sz w:val="26"/>
              </w:rPr>
              <w:t xml:space="preserve"> (Mẫu B5, Phụ lục ban hành kèm theo Nghị định số 95/2023/NĐ-CP ngày 29/12/2023 của Chính phủ).</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Mẫu B5.docx</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Giấy tờ chứng minh có địa điểm hợp pháp để làm nơi sinh hoạt tôn giáo;</w:t>
            </w:r>
          </w:p>
        </w:tc>
        <w:tc>
          <w:tcPr>
            <w:tcW w:w="0" w:type="auto"/>
          </w:tcPr>
          <w:p w:rsidR="000448C9" w:rsidRDefault="000448C9"/>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 xml:space="preserve">Sơ yếu lý lịch, </w:t>
            </w:r>
            <w:r>
              <w:rPr>
                <w:rFonts w:ascii="Times New Roman" w:eastAsia="Times New Roman" w:hAnsi="Times New Roman" w:cs="Times New Roman"/>
                <w:sz w:val="26"/>
              </w:rPr>
              <w:t xml:space="preserve">phiếu lý lịch tư pháp (cấp trước thời điểm nộp hồ sơ không quá 06 tháng) của người đại diện nhóm sinh hoạt tôn </w:t>
            </w:r>
            <w:r>
              <w:rPr>
                <w:rFonts w:ascii="Times New Roman" w:eastAsia="Times New Roman" w:hAnsi="Times New Roman" w:cs="Times New Roman"/>
                <w:sz w:val="26"/>
              </w:rPr>
              <w:lastRenderedPageBreak/>
              <w:t>giáo tập trung;</w:t>
            </w:r>
          </w:p>
        </w:tc>
        <w:tc>
          <w:tcPr>
            <w:tcW w:w="0" w:type="auto"/>
          </w:tcPr>
          <w:p w:rsidR="000448C9" w:rsidRDefault="000448C9"/>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Bản tóm tắt giáo lý, giáo luật đối với việc đăng ký quy định tại khoản 2 Điều 16 của Luật tín ngưỡng,</w:t>
            </w:r>
            <w:r>
              <w:rPr>
                <w:rFonts w:ascii="Times New Roman" w:eastAsia="Times New Roman" w:hAnsi="Times New Roman" w:cs="Times New Roman"/>
                <w:sz w:val="26"/>
              </w:rPr>
              <w:t xml:space="preserve"> tôn giáo....</w:t>
            </w:r>
          </w:p>
        </w:tc>
        <w:tc>
          <w:tcPr>
            <w:tcW w:w="0" w:type="auto"/>
          </w:tcPr>
          <w:p w:rsidR="000448C9" w:rsidRDefault="000448C9"/>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448C9" w:rsidRDefault="00C036A3">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0448C9" w:rsidRDefault="00C036A3">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0448C9" w:rsidRDefault="00C036A3">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448C9" w:rsidRDefault="00C036A3">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448C9" w:rsidRDefault="00C036A3">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448C9" w:rsidRDefault="00C036A3">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448C9" w:rsidRDefault="00C036A3">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sinh hoạt tôn giáo tập trung.</w:t>
      </w:r>
    </w:p>
    <w:p w:rsidR="000448C9" w:rsidRDefault="00C036A3">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6"/>
        <w:gridCol w:w="5483"/>
        <w:gridCol w:w="867"/>
        <w:gridCol w:w="1355"/>
      </w:tblGrid>
      <w:tr w:rsidR="000448C9">
        <w:tblPrEx>
          <w:tblCellMar>
            <w:top w:w="0" w:type="dxa"/>
            <w:bottom w:w="0" w:type="dxa"/>
          </w:tblCellMar>
        </w:tblPrEx>
        <w:tc>
          <w:tcPr>
            <w:tcW w:w="2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Số ký hiệu</w:t>
            </w:r>
          </w:p>
        </w:tc>
        <w:tc>
          <w:tcPr>
            <w:tcW w:w="35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Trích yếu</w:t>
            </w:r>
          </w:p>
        </w:tc>
        <w:tc>
          <w:tcPr>
            <w:tcW w:w="15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Ngày ban hành</w:t>
            </w:r>
          </w:p>
        </w:tc>
        <w:tc>
          <w:tcPr>
            <w:tcW w:w="3000" w:type="dxa"/>
          </w:tcPr>
          <w:p w:rsidR="000448C9" w:rsidRDefault="000448C9"/>
          <w:p w:rsidR="000448C9" w:rsidRDefault="00C036A3">
            <w:pPr>
              <w:spacing w:after="0" w:line="276" w:lineRule="auto"/>
              <w:jc w:val="center"/>
            </w:pPr>
            <w:r>
              <w:rPr>
                <w:rFonts w:ascii="Times New Roman" w:eastAsia="Times New Roman" w:hAnsi="Times New Roman" w:cs="Times New Roman"/>
                <w:b/>
                <w:sz w:val="26"/>
              </w:rPr>
              <w:t>Cơ quan</w:t>
            </w:r>
            <w:r>
              <w:rPr>
                <w:rFonts w:ascii="Times New Roman" w:eastAsia="Times New Roman" w:hAnsi="Times New Roman" w:cs="Times New Roman"/>
                <w:b/>
                <w:sz w:val="26"/>
              </w:rPr>
              <w:t xml:space="preserve"> ban hành</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02/2016/QH14</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17-07-2016</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Quốc Hội</w:t>
            </w:r>
          </w:p>
        </w:tc>
      </w:tr>
      <w:tr w:rsidR="000448C9">
        <w:tblPrEx>
          <w:tblCellMar>
            <w:top w:w="0" w:type="dxa"/>
            <w:bottom w:w="0" w:type="dxa"/>
          </w:tblCellMar>
        </w:tblPrEx>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95/2023/NĐ-CP</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Nghị định số 95/2023/NĐ-CP ngày 29/12/2023 của Chính phủ quy định chi tiết một số điều và biện pháp thi hành Luật tín ngưỡng,</w:t>
            </w:r>
            <w:r>
              <w:rPr>
                <w:rFonts w:ascii="Times New Roman" w:eastAsia="Times New Roman" w:hAnsi="Times New Roman" w:cs="Times New Roman"/>
                <w:sz w:val="26"/>
              </w:rPr>
              <w:t xml:space="preserve"> tôn giáo.</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29-12-2023</w:t>
            </w:r>
          </w:p>
        </w:tc>
        <w:tc>
          <w:tcPr>
            <w:tcW w:w="0" w:type="auto"/>
          </w:tcPr>
          <w:p w:rsidR="000448C9" w:rsidRDefault="000448C9"/>
          <w:p w:rsidR="000448C9" w:rsidRDefault="00C036A3">
            <w:pPr>
              <w:spacing w:after="0" w:line="276" w:lineRule="auto"/>
            </w:pPr>
            <w:r>
              <w:rPr>
                <w:rFonts w:ascii="Times New Roman" w:eastAsia="Times New Roman" w:hAnsi="Times New Roman" w:cs="Times New Roman"/>
                <w:sz w:val="26"/>
              </w:rPr>
              <w:t>Chính phủ</w:t>
            </w:r>
          </w:p>
        </w:tc>
      </w:tr>
    </w:tbl>
    <w:p w:rsidR="000448C9" w:rsidRDefault="00C036A3">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Tổ chức tôn giáo đăng ký sinh hoạt tôn giáo tập trung cho tín đồ tại những nơi chưa đủ điều kiện thành lập tổ chức tôn giáo trực thuộc; tổ chức được cấp chứng nhận đăng ký hoạt độn</w:t>
      </w:r>
      <w:r>
        <w:rPr>
          <w:rFonts w:ascii="Times New Roman" w:eastAsia="Times New Roman" w:hAnsi="Times New Roman" w:cs="Times New Roman"/>
          <w:sz w:val="26"/>
        </w:rPr>
        <w:t>g tôn giáo đăng ký sinh hoạt tôn giáo tập trung cho những người thuộc tổ chức khi đáp ứng đủ các điều kiện sau đây: + Có địa điểm hợp pháp để sinh hoạt tôn giáo. + Nhóm sinh hoạt tôn giáo tập trung có người đại diện là công dân Việt Nam thường tr</w:t>
      </w:r>
      <w:r>
        <w:rPr>
          <w:rFonts w:ascii="Times New Roman" w:eastAsia="Times New Roman" w:hAnsi="Times New Roman" w:cs="Times New Roman"/>
          <w:sz w:val="26"/>
        </w:rPr>
        <w:t xml:space="preserve">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w:t>
      </w:r>
      <w:r>
        <w:rPr>
          <w:rFonts w:ascii="Times New Roman" w:eastAsia="Times New Roman" w:hAnsi="Times New Roman" w:cs="Times New Roman"/>
          <w:sz w:val="26"/>
        </w:rPr>
        <w:t xml:space="preserve">hình sự. + Nội dung sinh hoạt tôn giáo không thuộc trường hợp quy định tại Điều 5 của Luật tín ngưỡng, tôn giáo. - Những người theo tôn giáo không thuộc trường hợp quy định </w:t>
      </w:r>
      <w:r>
        <w:rPr>
          <w:rFonts w:ascii="Times New Roman" w:eastAsia="Times New Roman" w:hAnsi="Times New Roman" w:cs="Times New Roman"/>
          <w:sz w:val="26"/>
        </w:rPr>
        <w:lastRenderedPageBreak/>
        <w:t xml:space="preserve">tại khoản 1 Điều 16 của Luật tín ngưỡng, tôn giáo được đăng ký sinh hoạt tôn </w:t>
      </w:r>
      <w:r>
        <w:rPr>
          <w:rFonts w:ascii="Times New Roman" w:eastAsia="Times New Roman" w:hAnsi="Times New Roman" w:cs="Times New Roman"/>
          <w:sz w:val="26"/>
        </w:rPr>
        <w:t xml:space="preserve">giáo tập trung khi đáp ứng đủ các điều kiện nêu trên và các điều kiện sau đây: + Có giáo lý, giáo luật. + Tên của nhóm sinh hoạt tôn giáo tập trung không trùng với tên tổ chức tôn giáo hoặc tổ chức đã được cấp chứng nhận đăng ký hoạt động tôn giáo, </w:t>
      </w:r>
      <w:r>
        <w:rPr>
          <w:rFonts w:ascii="Times New Roman" w:eastAsia="Times New Roman" w:hAnsi="Times New Roman" w:cs="Times New Roman"/>
          <w:sz w:val="26"/>
        </w:rPr>
        <w:t>tên tổ chức chính trị, tổ chức chính trị - xã hội hoặc tên danh nhân, anh hùng dân tộc.</w:t>
      </w:r>
    </w:p>
    <w:p w:rsidR="000448C9" w:rsidRDefault="00C036A3">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448C9" w:rsidRDefault="00C036A3">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0448C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C9"/>
    <w:rsid w:val="000448C9"/>
    <w:rsid w:val="00C0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3DAB3-F824-42D9-81BC-5388F987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2024-12-23T08:57:00Z</dcterms:created>
  <dcterms:modified xsi:type="dcterms:W3CDTF">2024-12-23T08:57:00Z</dcterms:modified>
</cp:coreProperties>
</file>