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6E" w:rsidRDefault="001F67E0">
      <w:pPr>
        <w:spacing w:after="300" w:line="276" w:lineRule="auto"/>
        <w:jc w:val="center"/>
      </w:pPr>
      <w:r>
        <w:rPr>
          <w:rFonts w:ascii="Times New Roman" w:eastAsia="Times New Roman" w:hAnsi="Times New Roman" w:cs="Times New Roman"/>
          <w:b/>
          <w:sz w:val="26"/>
        </w:rPr>
        <w:t>Chi tiết thủ tục hành chính</w:t>
      </w:r>
    </w:p>
    <w:p w:rsidR="00F6686E" w:rsidRDefault="001F67E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2.001035</w:t>
      </w:r>
    </w:p>
    <w:p w:rsidR="00F6686E" w:rsidRDefault="001F67E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F6686E" w:rsidRDefault="001F67E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chứng thực hợp đồng, giao dịch liên quan đến tài sản là động sản, quyền sử dụng đất, nhà ở</w:t>
      </w:r>
    </w:p>
    <w:p w:rsidR="00F6686E" w:rsidRDefault="001F67E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w:t>
      </w:r>
      <w:bookmarkStart w:id="0" w:name="_GoBack"/>
      <w:bookmarkEnd w:id="0"/>
      <w:r>
        <w:rPr>
          <w:rFonts w:ascii="Times New Roman" w:eastAsia="Times New Roman" w:hAnsi="Times New Roman" w:cs="Times New Roman"/>
          <w:sz w:val="26"/>
        </w:rPr>
        <w:t>ấp Xã</w:t>
      </w:r>
    </w:p>
    <w:p w:rsidR="00F6686E" w:rsidRDefault="001F67E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w:t>
      </w:r>
      <w:r>
        <w:rPr>
          <w:rFonts w:ascii="Times New Roman" w:eastAsia="Times New Roman" w:hAnsi="Times New Roman" w:cs="Times New Roman"/>
          <w:sz w:val="26"/>
        </w:rPr>
        <w:t>địa phương quy định hoặc quy định chi tiết</w:t>
      </w:r>
    </w:p>
    <w:p w:rsidR="00F6686E" w:rsidRDefault="001F67E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F6686E" w:rsidRDefault="001F67E0">
      <w:pPr>
        <w:spacing w:after="0" w:line="276" w:lineRule="auto"/>
        <w:jc w:val="both"/>
      </w:pPr>
      <w:r>
        <w:rPr>
          <w:rFonts w:ascii="Times New Roman" w:eastAsia="Times New Roman" w:hAnsi="Times New Roman" w:cs="Times New Roman"/>
          <w:b/>
          <w:sz w:val="26"/>
        </w:rPr>
        <w:t xml:space="preserve">Trình tự thực hiện: </w:t>
      </w:r>
    </w:p>
    <w:p w:rsidR="00F6686E" w:rsidRDefault="00F6686E">
      <w:pPr>
        <w:shd w:val="clear" w:color="auto" w:fill="F2F6F9"/>
        <w:spacing w:before="120" w:after="0" w:line="276" w:lineRule="auto"/>
        <w:jc w:val="both"/>
      </w:pPr>
    </w:p>
    <w:p w:rsidR="00F6686E" w:rsidRDefault="001F67E0">
      <w:pPr>
        <w:spacing w:after="0" w:line="276" w:lineRule="auto"/>
        <w:jc w:val="both"/>
      </w:pPr>
      <w:r>
        <w:rPr>
          <w:rFonts w:ascii="Times New Roman" w:eastAsia="Times New Roman" w:hAnsi="Times New Roman" w:cs="Times New Roman"/>
          <w:sz w:val="26"/>
        </w:rPr>
        <w:t>+ Người yêu cầu chứng thực nộp 01 bộ hồ sơ yêu cầu chứng thực.</w:t>
      </w:r>
    </w:p>
    <w:p w:rsidR="00F6686E" w:rsidRDefault="001F67E0">
      <w:pPr>
        <w:spacing w:after="0" w:line="276" w:lineRule="auto"/>
        <w:jc w:val="both"/>
      </w:pPr>
      <w:r>
        <w:rPr>
          <w:rFonts w:ascii="Times New Roman" w:eastAsia="Times New Roman" w:hAnsi="Times New Roman" w:cs="Times New Roman"/>
          <w:sz w:val="26"/>
        </w:rPr>
        <w:t>+ Người thực hiện chứng thực (hoặc người tiếp nhận hồ sơ trong trường hợp tiếp nhận hồ sơ tại bộ phận một c</w:t>
      </w:r>
      <w:r>
        <w:rPr>
          <w:rFonts w:ascii="Times New Roman" w:eastAsia="Times New Roman" w:hAnsi="Times New Roman" w:cs="Times New Roman"/>
          <w:sz w:val="26"/>
        </w:rPr>
        <w:t>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F6686E" w:rsidRDefault="001F67E0">
      <w:pPr>
        <w:spacing w:after="0" w:line="276" w:lineRule="auto"/>
        <w:jc w:val="both"/>
      </w:pPr>
      <w:r>
        <w:rPr>
          <w:rFonts w:ascii="Times New Roman" w:eastAsia="Times New Roman" w:hAnsi="Times New Roman" w:cs="Times New Roman"/>
          <w:sz w:val="26"/>
        </w:rPr>
        <w:t xml:space="preserve">+ Các bên tham gia </w:t>
      </w:r>
      <w:r>
        <w:rPr>
          <w:rFonts w:ascii="Times New Roman" w:eastAsia="Times New Roman" w:hAnsi="Times New Roman" w:cs="Times New Roman"/>
          <w:sz w:val="26"/>
        </w:rPr>
        <w:t>hợp đồng, giao dịch phải ký trước mặt người thực hiện chứng thực, nếu hợp đồng, giao dịch có từ hai trang trở lên thì phải ký vào từng trang. Trường hợp người yêu cầu chứng thực nộp hồ sơ tại bộ phận một cửa, một cửa liên thông thì các bên tham gia hợp đồn</w:t>
      </w:r>
      <w:r>
        <w:rPr>
          <w:rFonts w:ascii="Times New Roman" w:eastAsia="Times New Roman" w:hAnsi="Times New Roman" w:cs="Times New Roman"/>
          <w:sz w:val="26"/>
        </w:rPr>
        <w:t>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w:t>
      </w:r>
      <w:r>
        <w:rPr>
          <w:rFonts w:ascii="Times New Roman" w:eastAsia="Times New Roman" w:hAnsi="Times New Roman" w:cs="Times New Roman"/>
          <w:sz w:val="26"/>
        </w:rPr>
        <w:t>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rsidR="00F6686E" w:rsidRDefault="001F67E0">
      <w:pPr>
        <w:spacing w:after="0" w:line="276" w:lineRule="auto"/>
        <w:jc w:val="both"/>
      </w:pPr>
      <w:r>
        <w:rPr>
          <w:rFonts w:ascii="Times New Roman" w:eastAsia="Times New Roman" w:hAnsi="Times New Roman" w:cs="Times New Roman"/>
          <w:sz w:val="26"/>
        </w:rPr>
        <w:t>+ Tr</w:t>
      </w:r>
      <w:r>
        <w:rPr>
          <w:rFonts w:ascii="Times New Roman" w:eastAsia="Times New Roman" w:hAnsi="Times New Roman" w:cs="Times New Roman"/>
          <w:sz w:val="26"/>
        </w:rPr>
        <w:t>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w:t>
      </w:r>
      <w:r>
        <w:rPr>
          <w:rFonts w:ascii="Times New Roman" w:eastAsia="Times New Roman" w:hAnsi="Times New Roman" w:cs="Times New Roman"/>
          <w:sz w:val="26"/>
        </w:rPr>
        <w:t>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F6686E" w:rsidRDefault="001F67E0">
      <w:pPr>
        <w:spacing w:after="0" w:line="276" w:lineRule="auto"/>
        <w:jc w:val="both"/>
      </w:pPr>
      <w:r>
        <w:rPr>
          <w:rFonts w:ascii="Times New Roman" w:eastAsia="Times New Roman" w:hAnsi="Times New Roman" w:cs="Times New Roman"/>
          <w:sz w:val="26"/>
        </w:rPr>
        <w:t>+ Người thực hiện chứng thực (h</w:t>
      </w:r>
      <w:r>
        <w:rPr>
          <w:rFonts w:ascii="Times New Roman" w:eastAsia="Times New Roman" w:hAnsi="Times New Roman" w:cs="Times New Roman"/>
          <w:sz w:val="26"/>
        </w:rPr>
        <w:t>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w:t>
      </w:r>
      <w:r>
        <w:rPr>
          <w:rFonts w:ascii="Times New Roman" w:eastAsia="Times New Roman" w:hAnsi="Times New Roman" w:cs="Times New Roman"/>
          <w:sz w:val="26"/>
        </w:rPr>
        <w:t>i chứng theo mẫu quy định.</w:t>
      </w:r>
    </w:p>
    <w:p w:rsidR="00F6686E" w:rsidRDefault="001F67E0">
      <w:pPr>
        <w:spacing w:after="0" w:line="276" w:lineRule="auto"/>
        <w:jc w:val="both"/>
      </w:pPr>
      <w:r>
        <w:rPr>
          <w:rFonts w:ascii="Times New Roman" w:eastAsia="Times New Roman" w:hAnsi="Times New Roman" w:cs="Times New Roman"/>
          <w:sz w:val="26"/>
        </w:rPr>
        <w:lastRenderedPageBreak/>
        <w:t>Người thực hiện chứng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r>
        <w:rPr>
          <w:rFonts w:ascii="Times New Roman" w:eastAsia="Times New Roman" w:hAnsi="Times New Roman" w:cs="Times New Roman"/>
          <w:sz w:val="26"/>
        </w:rPr>
        <w:t>.</w:t>
      </w:r>
    </w:p>
    <w:p w:rsidR="00F6686E" w:rsidRDefault="001F67E0">
      <w:pPr>
        <w:spacing w:after="0" w:line="276" w:lineRule="auto"/>
        <w:jc w:val="both"/>
      </w:pPr>
      <w:r>
        <w:rPr>
          <w:rFonts w:ascii="Times New Roman" w:eastAsia="Times New Roman" w:hAnsi="Times New Roman" w:cs="Times New Roman"/>
          <w:sz w:val="26"/>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w:t>
      </w:r>
      <w:r>
        <w:rPr>
          <w:rFonts w:ascii="Times New Roman" w:eastAsia="Times New Roman" w:hAnsi="Times New Roman" w:cs="Times New Roman"/>
          <w:sz w:val="26"/>
        </w:rPr>
        <w:t>ợp hợp đồng, giao dịch có từ 02 (hai) tờ trở lên thì phải đóng dấu giáp lai.</w:t>
      </w:r>
    </w:p>
    <w:p w:rsidR="00F6686E" w:rsidRDefault="001F67E0">
      <w:pPr>
        <w:spacing w:after="0" w:line="276" w:lineRule="auto"/>
        <w:jc w:val="both"/>
      </w:pPr>
      <w:r>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w:t>
      </w:r>
      <w:r>
        <w:rPr>
          <w:rFonts w:ascii="Times New Roman" w:eastAsia="Times New Roman" w:hAnsi="Times New Roman" w:cs="Times New Roman"/>
          <w:sz w:val="26"/>
        </w:rPr>
        <w:t>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w:t>
      </w:r>
      <w:r>
        <w:rPr>
          <w:rFonts w:ascii="Times New Roman" w:eastAsia="Times New Roman" w:hAnsi="Times New Roman" w:cs="Times New Roman"/>
          <w:sz w:val="26"/>
        </w:rPr>
        <w:t>rách nhiệm dịch đầy đủ, chính xác nội dung của hợp đồng, giao dịch, nội dung lời chứng cho người yêu cầu chứng thực và ký vào từng trang hợp đồng với tư cách là người phiên dịch.</w:t>
      </w:r>
    </w:p>
    <w:p w:rsidR="00F6686E" w:rsidRDefault="001F67E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0"/>
        <w:gridCol w:w="3711"/>
        <w:gridCol w:w="1443"/>
        <w:gridCol w:w="3587"/>
      </w:tblGrid>
      <w:tr w:rsidR="00F6686E">
        <w:tblPrEx>
          <w:tblCellMar>
            <w:top w:w="0" w:type="dxa"/>
            <w:bottom w:w="0" w:type="dxa"/>
          </w:tblCellMar>
        </w:tblPrEx>
        <w:tc>
          <w:tcPr>
            <w:tcW w:w="15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Hình thức nộp</w:t>
            </w:r>
          </w:p>
        </w:tc>
        <w:tc>
          <w:tcPr>
            <w:tcW w:w="2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Phí, lệ phí</w:t>
            </w:r>
          </w:p>
        </w:tc>
        <w:tc>
          <w:tcPr>
            <w:tcW w:w="3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Mô tả</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Trực tiếp</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w:t>
            </w:r>
            <w:r>
              <w:rPr>
                <w:rFonts w:ascii="Times New Roman" w:eastAsia="Times New Roman" w:hAnsi="Times New Roman" w:cs="Times New Roman"/>
                <w:sz w:val="26"/>
              </w:rPr>
              <w:t xml:space="preserve">n ghi rõ thời gian (giờ, ngày) trả kết quả cho người yêu cầu chứng thực. </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Phí : 50.000 Đồng (50.000 đồng/hợp đồng, giao dịch)</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Nộp hồ sơ trực tiếp tại Ủy ban nhân dân cấp xã. Việc chứng thực các hợp đồng, giao dịch liên quan đến quyền của người sử dụng đấ</w:t>
            </w:r>
            <w:r>
              <w:rPr>
                <w:rFonts w:ascii="Times New Roman" w:eastAsia="Times New Roman" w:hAnsi="Times New Roman" w:cs="Times New Roman"/>
                <w:sz w:val="26"/>
              </w:rPr>
              <w:t>t được thực hiện tại Ủy ban nhân dân cấp xã nơi có đất. Việc chứng thực các hợp đồng, giao dịch liên quan đến nhà ở được thực hiện tại Ủy ban nhân dân cấp xã nơi có nhà.</w:t>
            </w:r>
          </w:p>
        </w:tc>
      </w:tr>
    </w:tbl>
    <w:p w:rsidR="00F6686E" w:rsidRDefault="001F67E0">
      <w:pPr>
        <w:spacing w:before="240" w:after="0" w:line="276" w:lineRule="auto"/>
        <w:jc w:val="both"/>
      </w:pPr>
      <w:r>
        <w:rPr>
          <w:rFonts w:ascii="Times New Roman" w:eastAsia="Times New Roman" w:hAnsi="Times New Roman" w:cs="Times New Roman"/>
          <w:b/>
          <w:sz w:val="26"/>
        </w:rPr>
        <w:t xml:space="preserve">Thành phần hồ sơ: </w:t>
      </w:r>
    </w:p>
    <w:p w:rsidR="00F6686E" w:rsidRDefault="001F67E0">
      <w:pPr>
        <w:shd w:val="clear" w:color="auto" w:fill="F2F6F9"/>
        <w:spacing w:before="120" w:after="0" w:line="276" w:lineRule="auto"/>
        <w:jc w:val="both"/>
      </w:pPr>
      <w:r>
        <w:rPr>
          <w:rFonts w:ascii="Times New Roman" w:eastAsia="Times New Roman" w:hAnsi="Times New Roman" w:cs="Times New Roman"/>
          <w:b/>
          <w:sz w:val="26"/>
        </w:rPr>
        <w:t>Người yêu cầu chứng thực nộp 01 (một) bộ hồ sơ yêu cầu chứng thực,</w:t>
      </w:r>
      <w:r>
        <w:rPr>
          <w:rFonts w:ascii="Times New Roman" w:eastAsia="Times New Roman" w:hAnsi="Times New Roman" w:cs="Times New Roman"/>
          <w:b/>
          <w:sz w:val="26"/>
        </w:rPr>
        <w:t xml:space="preserve">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F6686E">
        <w:tblPrEx>
          <w:tblCellMar>
            <w:top w:w="0" w:type="dxa"/>
            <w:bottom w:w="0" w:type="dxa"/>
          </w:tblCellMar>
        </w:tblPrEx>
        <w:tc>
          <w:tcPr>
            <w:tcW w:w="6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Tên giấy tờ</w:t>
            </w:r>
          </w:p>
        </w:tc>
        <w:tc>
          <w:tcPr>
            <w:tcW w:w="2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lastRenderedPageBreak/>
              <w:t>đơn, tờ khai</w:t>
            </w:r>
          </w:p>
        </w:tc>
        <w:tc>
          <w:tcPr>
            <w:tcW w:w="2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lastRenderedPageBreak/>
              <w:t>lượng</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 Dự thảo hợp đồng, giao dịch;</w:t>
            </w:r>
          </w:p>
        </w:tc>
        <w:tc>
          <w:tcPr>
            <w:tcW w:w="0" w:type="auto"/>
          </w:tcPr>
          <w:p w:rsidR="00F6686E" w:rsidRDefault="00F6686E"/>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 xml:space="preserve">+ Bản sao Giấy chứng minh nhân dân/Căn cước công dân hoặc Hộ chiếu còn giá trị sử dụng của người yêu cầu chứng thực (xuất trình </w:t>
            </w:r>
            <w:r>
              <w:rPr>
                <w:rFonts w:ascii="Times New Roman" w:eastAsia="Times New Roman" w:hAnsi="Times New Roman" w:cs="Times New Roman"/>
                <w:sz w:val="26"/>
              </w:rPr>
              <w:t>kèm theo bản chính để đối chiếu);</w:t>
            </w:r>
          </w:p>
        </w:tc>
        <w:tc>
          <w:tcPr>
            <w:tcW w:w="0" w:type="auto"/>
          </w:tcPr>
          <w:p w:rsidR="00F6686E" w:rsidRDefault="00F6686E"/>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w:t>
            </w:r>
            <w:r>
              <w:rPr>
                <w:rFonts w:ascii="Times New Roman" w:eastAsia="Times New Roman" w:hAnsi="Times New Roman" w:cs="Times New Roman"/>
                <w:sz w:val="26"/>
              </w:rPr>
              <w:t>trường hợp hợp đồng, giao dịch liên quan đến tài sản đó (xuất trình kèm theo bản chính để đối chiếu).</w:t>
            </w:r>
          </w:p>
        </w:tc>
        <w:tc>
          <w:tcPr>
            <w:tcW w:w="0" w:type="auto"/>
          </w:tcPr>
          <w:p w:rsidR="00F6686E" w:rsidRDefault="00F6686E"/>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F6686E" w:rsidRDefault="001F67E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Doanh nghiệp, Tổ chức (không bao gồm doanh nghiệp, HTX)</w:t>
      </w:r>
    </w:p>
    <w:p w:rsidR="00F6686E" w:rsidRDefault="001F67E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Nhân </w:t>
      </w:r>
      <w:r>
        <w:rPr>
          <w:rFonts w:ascii="Times New Roman" w:eastAsia="Times New Roman" w:hAnsi="Times New Roman" w:cs="Times New Roman"/>
          <w:sz w:val="26"/>
        </w:rPr>
        <w:t>dân xã, phường, thị trấn.</w:t>
      </w:r>
    </w:p>
    <w:p w:rsidR="00F6686E" w:rsidRDefault="001F67E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Hợp đồng, giao dịch được chứng thực</w:t>
      </w:r>
    </w:p>
    <w:p w:rsidR="00F6686E" w:rsidRDefault="001F67E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F6686E">
        <w:tblPrEx>
          <w:tblCellMar>
            <w:top w:w="0" w:type="dxa"/>
            <w:bottom w:w="0" w:type="dxa"/>
          </w:tblCellMar>
        </w:tblPrEx>
        <w:tc>
          <w:tcPr>
            <w:tcW w:w="2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Số ký hiệu</w:t>
            </w:r>
          </w:p>
        </w:tc>
        <w:tc>
          <w:tcPr>
            <w:tcW w:w="35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Trích yếu</w:t>
            </w:r>
          </w:p>
        </w:tc>
        <w:tc>
          <w:tcPr>
            <w:tcW w:w="15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Ngày ban hành</w:t>
            </w:r>
          </w:p>
        </w:tc>
        <w:tc>
          <w:tcPr>
            <w:tcW w:w="3000" w:type="dxa"/>
          </w:tcPr>
          <w:p w:rsidR="00F6686E" w:rsidRDefault="00F6686E"/>
          <w:p w:rsidR="00F6686E" w:rsidRDefault="001F67E0">
            <w:pPr>
              <w:spacing w:after="0" w:line="276" w:lineRule="auto"/>
              <w:jc w:val="center"/>
            </w:pPr>
            <w:r>
              <w:rPr>
                <w:rFonts w:ascii="Times New Roman" w:eastAsia="Times New Roman" w:hAnsi="Times New Roman" w:cs="Times New Roman"/>
                <w:b/>
                <w:sz w:val="26"/>
              </w:rPr>
              <w:t>Cơ quan ban hành</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23/2015/NĐ-CP</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Nghị định 23/2015/NĐ-CP</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16-02-2015</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Chính phủ</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 xml:space="preserve">226/2016/TT-BTC </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Thông tư 226/2016/TT-BTC</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11-11-2016</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t>Bộ Tài chính</w:t>
            </w:r>
          </w:p>
        </w:tc>
      </w:tr>
      <w:tr w:rsidR="00F6686E">
        <w:tblPrEx>
          <w:tblCellMar>
            <w:top w:w="0" w:type="dxa"/>
            <w:bottom w:w="0" w:type="dxa"/>
          </w:tblCellMar>
        </w:tblPrEx>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lastRenderedPageBreak/>
              <w:t>01/2020/TT-BTP</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lastRenderedPageBreak/>
              <w:t>Thông tư 01/2020/TT-BTP</w:t>
            </w:r>
          </w:p>
        </w:tc>
        <w:tc>
          <w:tcPr>
            <w:tcW w:w="0" w:type="auto"/>
          </w:tcPr>
          <w:p w:rsidR="00F6686E" w:rsidRDefault="00F6686E"/>
          <w:p w:rsidR="00F6686E" w:rsidRDefault="001F67E0">
            <w:pPr>
              <w:spacing w:after="0" w:line="276" w:lineRule="auto"/>
            </w:pPr>
            <w:r>
              <w:rPr>
                <w:rFonts w:ascii="Times New Roman" w:eastAsia="Times New Roman" w:hAnsi="Times New Roman" w:cs="Times New Roman"/>
                <w:sz w:val="26"/>
              </w:rPr>
              <w:lastRenderedPageBreak/>
              <w:t>03-03-2020</w:t>
            </w:r>
          </w:p>
        </w:tc>
        <w:tc>
          <w:tcPr>
            <w:tcW w:w="0" w:type="auto"/>
          </w:tcPr>
          <w:p w:rsidR="00F6686E" w:rsidRDefault="00F6686E"/>
        </w:tc>
      </w:tr>
    </w:tbl>
    <w:p w:rsidR="00F6686E" w:rsidRDefault="001F67E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6686E" w:rsidRDefault="001F67E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6686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6E"/>
    <w:rsid w:val="001F67E0"/>
    <w:rsid w:val="00F6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B7FA5-AA7E-4FC3-9AF7-3F7330E5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2024-03-06T03:01:00Z</dcterms:created>
  <dcterms:modified xsi:type="dcterms:W3CDTF">2024-03-06T03:01:00Z</dcterms:modified>
</cp:coreProperties>
</file>