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B8" w:rsidRDefault="00963670">
      <w:pPr>
        <w:spacing w:after="300" w:line="276" w:lineRule="auto"/>
        <w:jc w:val="center"/>
      </w:pPr>
      <w:r>
        <w:rPr>
          <w:rFonts w:ascii="Times New Roman" w:eastAsia="Times New Roman" w:hAnsi="Times New Roman" w:cs="Times New Roman"/>
          <w:b/>
          <w:sz w:val="26"/>
        </w:rPr>
        <w:t>Chi tiết thủ tục hành chính</w:t>
      </w:r>
    </w:p>
    <w:p w:rsidR="00B96AB8" w:rsidRDefault="0096367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1.003583</w:t>
      </w:r>
    </w:p>
    <w:p w:rsidR="00B96AB8" w:rsidRDefault="0096367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528/QĐ-BTP</w:t>
      </w:r>
    </w:p>
    <w:p w:rsidR="00B96AB8" w:rsidRDefault="00963670">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sinh lưu động</w:t>
      </w:r>
    </w:p>
    <w:p w:rsidR="00B96AB8" w:rsidRDefault="0096367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96AB8" w:rsidRDefault="0096367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B96AB8" w:rsidRDefault="0096367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B96AB8" w:rsidRDefault="00963670">
      <w:pPr>
        <w:spacing w:after="0" w:line="276" w:lineRule="auto"/>
        <w:jc w:val="both"/>
      </w:pPr>
      <w:r>
        <w:rPr>
          <w:rFonts w:ascii="Times New Roman" w:eastAsia="Times New Roman" w:hAnsi="Times New Roman" w:cs="Times New Roman"/>
          <w:b/>
          <w:sz w:val="26"/>
        </w:rPr>
        <w:t xml:space="preserve">Trình tự thực hiện: </w:t>
      </w:r>
    </w:p>
    <w:p w:rsidR="00B96AB8" w:rsidRDefault="00B96AB8">
      <w:pPr>
        <w:shd w:val="clear" w:color="auto" w:fill="F2F6F9"/>
        <w:spacing w:before="120" w:after="0" w:line="276" w:lineRule="auto"/>
        <w:jc w:val="both"/>
      </w:pPr>
      <w:bookmarkStart w:id="0" w:name="_GoBack"/>
      <w:bookmarkEnd w:id="0"/>
    </w:p>
    <w:p w:rsidR="00B96AB8" w:rsidRDefault="00963670">
      <w:pPr>
        <w:spacing w:after="0" w:line="276" w:lineRule="auto"/>
        <w:jc w:val="both"/>
      </w:pPr>
      <w:r>
        <w:rPr>
          <w:rFonts w:ascii="Times New Roman" w:eastAsia="Times New Roman" w:hAnsi="Times New Roman" w:cs="Times New Roman"/>
          <w:sz w:val="26"/>
        </w:rPr>
        <w:t xml:space="preserve">- Công chức tư </w:t>
      </w:r>
      <w:r>
        <w:rPr>
          <w:rFonts w:ascii="Times New Roman" w:eastAsia="Times New Roman" w:hAnsi="Times New Roman" w:cs="Times New Roman"/>
          <w:sz w:val="26"/>
        </w:rPr>
        <w:t>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w:t>
      </w:r>
      <w:r>
        <w:rPr>
          <w:rFonts w:ascii="Times New Roman" w:eastAsia="Times New Roman" w:hAnsi="Times New Roman" w:cs="Times New Roman"/>
          <w:sz w:val="26"/>
        </w:rPr>
        <w:t xml:space="preserve"> bảo đảm thuận lợi cho người dân.</w:t>
      </w:r>
    </w:p>
    <w:p w:rsidR="00B96AB8" w:rsidRDefault="00963670">
      <w:pPr>
        <w:spacing w:after="0" w:line="276" w:lineRule="auto"/>
        <w:jc w:val="both"/>
      </w:pPr>
      <w:r>
        <w:rPr>
          <w:rFonts w:ascii="Times New Roman" w:eastAsia="Times New Roman" w:hAnsi="Times New Roman" w:cs="Times New Roman"/>
          <w:sz w:val="26"/>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w:t>
      </w:r>
      <w:r>
        <w:rPr>
          <w:rFonts w:ascii="Times New Roman" w:eastAsia="Times New Roman" w:hAnsi="Times New Roman" w:cs="Times New Roman"/>
          <w:sz w:val="26"/>
        </w:rPr>
        <w:t>hận hồ sơ.</w:t>
      </w:r>
    </w:p>
    <w:p w:rsidR="00B96AB8" w:rsidRDefault="00963670">
      <w:pPr>
        <w:spacing w:after="0" w:line="276" w:lineRule="auto"/>
        <w:jc w:val="both"/>
      </w:pPr>
      <w:r>
        <w:rPr>
          <w:rFonts w:ascii="Times New Roman" w:eastAsia="Times New Roman" w:hAnsi="Times New Roman" w:cs="Times New Roman"/>
          <w:sz w:val="26"/>
        </w:rPr>
        <w:t>- Sau khi tiếp nhận đủ hồ sơ, công chức tư pháp - hộ tịch thực hiện việc ghi vào Sổ đăng ký khai sinh, cập nhật thông tin đăng ký khai sinh trên Phần mềm đăng ký, quản lý hộ tịch điện tử dùng chung, lưu chính thức và chuyển thông tin đến CSDLQGV</w:t>
      </w:r>
      <w:r>
        <w:rPr>
          <w:rFonts w:ascii="Times New Roman" w:eastAsia="Times New Roman" w:hAnsi="Times New Roman" w:cs="Times New Roman"/>
          <w:sz w:val="26"/>
        </w:rPr>
        <w:t>DC để lấy Số định danh cá nhân.</w:t>
      </w:r>
    </w:p>
    <w:p w:rsidR="00B96AB8" w:rsidRDefault="00963670">
      <w:pPr>
        <w:spacing w:after="0" w:line="276" w:lineRule="auto"/>
        <w:jc w:val="both"/>
      </w:pPr>
      <w:r>
        <w:rPr>
          <w:rFonts w:ascii="Times New Roman" w:eastAsia="Times New Roman" w:hAnsi="Times New Roman" w:cs="Times New Roman"/>
          <w:sz w:val="26"/>
        </w:rPr>
        <w:t>Sau khi CSDLQGVDC trả về Số định danh cá nhân, công chức tư pháp - hộ tịch in Giấy khai sinh, trình Lãnh đạo UBND ký Giấy khai sinh để cấp cho người có yêu cầu.</w:t>
      </w:r>
    </w:p>
    <w:p w:rsidR="00B96AB8" w:rsidRDefault="00963670">
      <w:pPr>
        <w:spacing w:after="0" w:line="276" w:lineRule="auto"/>
        <w:jc w:val="both"/>
      </w:pPr>
      <w:r>
        <w:rPr>
          <w:rFonts w:ascii="Times New Roman" w:eastAsia="Times New Roman" w:hAnsi="Times New Roman" w:cs="Times New Roman"/>
          <w:sz w:val="26"/>
        </w:rPr>
        <w:t>- Công chức tư pháp - hộ tịch đem theo Giấy khai sinh và Sổ đăn</w:t>
      </w:r>
      <w:r>
        <w:rPr>
          <w:rFonts w:ascii="Times New Roman" w:eastAsia="Times New Roman" w:hAnsi="Times New Roman" w:cs="Times New Roman"/>
          <w:sz w:val="26"/>
        </w:rPr>
        <w:t xml:space="preserve">g ký khai sinh để trả kết quả cho người có yêu cầu tại địa điểm đăng ký lưu động; hướng dẫn người yêu cầu kiểm tra nội dung Giấy khai sinh và Sổ đăng ký khai sinh, ký, ghi rõ họ, tên trong Sổ đăng ký khai sinh; tại mục “Ghi chú” trong Sổ đăng ký khai sinh </w:t>
      </w:r>
      <w:r>
        <w:rPr>
          <w:rFonts w:ascii="Times New Roman" w:eastAsia="Times New Roman" w:hAnsi="Times New Roman" w:cs="Times New Roman"/>
          <w:sz w:val="26"/>
        </w:rPr>
        <w:t>ghi rõ “Đăng ký lưu động”.</w:t>
      </w:r>
    </w:p>
    <w:p w:rsidR="00B96AB8" w:rsidRDefault="00963670">
      <w:pPr>
        <w:spacing w:after="0" w:line="276" w:lineRule="auto"/>
        <w:jc w:val="both"/>
      </w:pPr>
      <w:r>
        <w:rPr>
          <w:rFonts w:ascii="Times New Roman" w:eastAsia="Times New Roman" w:hAnsi="Times New Roman" w:cs="Times New Roman"/>
          <w:sz w:val="26"/>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w:t>
      </w:r>
      <w:r>
        <w:rPr>
          <w:rFonts w:ascii="Times New Roman" w:eastAsia="Times New Roman" w:hAnsi="Times New Roman" w:cs="Times New Roman"/>
          <w:sz w:val="26"/>
        </w:rPr>
        <w:t>c tư pháp - hộ tịch phải đọc lại nội dung Giấy khai sinh cho người yêu cầu nghe và hướng dẫn người đó điểm chỉ vào Sổ đăng ký khai sinh.</w:t>
      </w:r>
    </w:p>
    <w:p w:rsidR="00B96AB8" w:rsidRDefault="00963670">
      <w:pPr>
        <w:shd w:val="clear" w:color="auto" w:fill="F2F6F9"/>
        <w:spacing w:before="120" w:after="0" w:line="276" w:lineRule="auto"/>
        <w:jc w:val="both"/>
      </w:pPr>
      <w:r>
        <w:rPr>
          <w:rFonts w:ascii="Times New Roman" w:eastAsia="Times New Roman" w:hAnsi="Times New Roman" w:cs="Times New Roman"/>
          <w:b/>
          <w:sz w:val="26"/>
        </w:rPr>
        <w:t>* Lưu ý:</w:t>
      </w:r>
    </w:p>
    <w:p w:rsidR="00B96AB8" w:rsidRDefault="00963670">
      <w:pPr>
        <w:spacing w:after="0" w:line="276" w:lineRule="auto"/>
        <w:jc w:val="both"/>
      </w:pPr>
      <w:r>
        <w:rPr>
          <w:rFonts w:ascii="Times New Roman" w:eastAsia="Times New Roman" w:hAnsi="Times New Roman" w:cs="Times New Roman"/>
          <w:sz w:val="26"/>
        </w:rPr>
        <w:t>- Đối với việc xác định họ, dân tộc, đặt tên cho trẻ:</w:t>
      </w:r>
    </w:p>
    <w:p w:rsidR="00B96AB8" w:rsidRDefault="00963670">
      <w:pPr>
        <w:spacing w:after="0" w:line="276" w:lineRule="auto"/>
        <w:jc w:val="both"/>
      </w:pPr>
      <w:r>
        <w:rPr>
          <w:rFonts w:ascii="Times New Roman" w:eastAsia="Times New Roman" w:hAnsi="Times New Roman" w:cs="Times New Roman"/>
          <w:sz w:val="26"/>
        </w:rPr>
        <w:t>+ Việc xác định họ, dân tộc, đặt tên cho trẻ em phải phù</w:t>
      </w:r>
      <w:r>
        <w:rPr>
          <w:rFonts w:ascii="Times New Roman" w:eastAsia="Times New Roman" w:hAnsi="Times New Roman" w:cs="Times New Roman"/>
          <w:sz w:val="26"/>
        </w:rPr>
        <w:t xml:space="preserve"> hợp với pháp luật và yêu cầu giữ gìn bản sắc dân tộc, tập quán, truyền thống văn hóa tốt đẹp của Việt Nam; không đặt tên quá dài, khó sử dụng.</w:t>
      </w:r>
    </w:p>
    <w:p w:rsidR="00B96AB8" w:rsidRDefault="00963670">
      <w:pPr>
        <w:spacing w:after="0" w:line="276" w:lineRule="auto"/>
        <w:jc w:val="both"/>
      </w:pPr>
      <w:r>
        <w:rPr>
          <w:rFonts w:ascii="Times New Roman" w:eastAsia="Times New Roman" w:hAnsi="Times New Roman" w:cs="Times New Roman"/>
          <w:sz w:val="26"/>
        </w:rPr>
        <w:lastRenderedPageBreak/>
        <w:t>+ Trường hợp cha, mẹ không thỏa thuận được về họ, dân tộc, quê quán của con khi đăng ký khai sinh thì họ, dân tộ</w:t>
      </w:r>
      <w:r>
        <w:rPr>
          <w:rFonts w:ascii="Times New Roman" w:eastAsia="Times New Roman" w:hAnsi="Times New Roman" w:cs="Times New Roman"/>
          <w:sz w:val="26"/>
        </w:rPr>
        <w:t>c, quê quán của con được xác định theo tập quán nhưng phải bảo đảm theo họ, dân tộc, quê quán của cha hoặc mẹ.</w:t>
      </w:r>
    </w:p>
    <w:p w:rsidR="00B96AB8" w:rsidRDefault="00963670">
      <w:pPr>
        <w:spacing w:after="0" w:line="276" w:lineRule="auto"/>
        <w:jc w:val="both"/>
      </w:pPr>
      <w:r>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w:t>
      </w:r>
      <w:r>
        <w:rPr>
          <w:rFonts w:ascii="Times New Roman" w:eastAsia="Times New Roman" w:hAnsi="Times New Roman" w:cs="Times New Roman"/>
          <w:sz w:val="26"/>
        </w:rPr>
        <w:t>i thích rõ cho người lập văn bản cam đoan về trách nhiệm, hệ quả pháp lý của việc cam đoan không đúng sự thật.</w:t>
      </w:r>
    </w:p>
    <w:p w:rsidR="00B96AB8" w:rsidRDefault="00963670">
      <w:pPr>
        <w:spacing w:after="0" w:line="276" w:lineRule="auto"/>
        <w:jc w:val="both"/>
      </w:pPr>
      <w:r>
        <w:rPr>
          <w:rFonts w:ascii="Times New Roman" w:eastAsia="Times New Roman" w:hAnsi="Times New Roman" w:cs="Times New Roman"/>
          <w:sz w:val="26"/>
        </w:rPr>
        <w:t xml:space="preserve">Cơ quan đăng ký hộ tịch từ chối giải quyết hoặc đề nghị cơ quan có thẩm quyền hủy bỏ kết quả đăng ký hộ tịch, nếu có cơ sở xác định nội dung cam </w:t>
      </w:r>
      <w:r>
        <w:rPr>
          <w:rFonts w:ascii="Times New Roman" w:eastAsia="Times New Roman" w:hAnsi="Times New Roman" w:cs="Times New Roman"/>
          <w:sz w:val="26"/>
        </w:rPr>
        <w:t>đoan không đúng sự thật.</w:t>
      </w:r>
    </w:p>
    <w:p w:rsidR="00B96AB8" w:rsidRDefault="0096367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0"/>
        <w:gridCol w:w="889"/>
        <w:gridCol w:w="5648"/>
        <w:gridCol w:w="2124"/>
      </w:tblGrid>
      <w:tr w:rsidR="00B96AB8">
        <w:tblPrEx>
          <w:tblCellMar>
            <w:top w:w="0" w:type="dxa"/>
            <w:bottom w:w="0" w:type="dxa"/>
          </w:tblCellMar>
        </w:tblPrEx>
        <w:tc>
          <w:tcPr>
            <w:tcW w:w="15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Hình thức nộp</w:t>
            </w:r>
          </w:p>
        </w:tc>
        <w:tc>
          <w:tcPr>
            <w:tcW w:w="2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Phí, lệ phí</w:t>
            </w:r>
          </w:p>
        </w:tc>
        <w:tc>
          <w:tcPr>
            <w:tcW w:w="3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Mô tả</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Trực tiếp</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5 Ngày làm việc</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Lệ phí : - Đối với trường hợp đăng ký khai sinh không đúng hạn: theo mức thu lệ phí do Hội đồng nhân dân cấp tỉnh quy định.  - Miễn lệ phí đối với trường hợp khai sinh đúng hạn, người thuộc gia đình có công với cách mạng; người thuộc hộ nghèo; người khuyết</w:t>
            </w:r>
            <w:r>
              <w:rPr>
                <w:rFonts w:ascii="Times New Roman" w:eastAsia="Times New Roman" w:hAnsi="Times New Roman" w:cs="Times New Roman"/>
                <w:sz w:val="26"/>
              </w:rPr>
              <w:t xml:space="preserve"> tật. </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Thực hiện đăng ký lưu động tại nhà riêng hoặc tại địa điểm tổ chức đăng ký lưu động.</w:t>
            </w:r>
          </w:p>
        </w:tc>
      </w:tr>
    </w:tbl>
    <w:p w:rsidR="00B96AB8" w:rsidRDefault="00963670">
      <w:pPr>
        <w:spacing w:before="240" w:after="0" w:line="276" w:lineRule="auto"/>
        <w:jc w:val="both"/>
      </w:pPr>
      <w:r>
        <w:rPr>
          <w:rFonts w:ascii="Times New Roman" w:eastAsia="Times New Roman" w:hAnsi="Times New Roman" w:cs="Times New Roman"/>
          <w:b/>
          <w:sz w:val="26"/>
        </w:rPr>
        <w:t xml:space="preserve">Thành phần hồ sơ: </w:t>
      </w:r>
    </w:p>
    <w:p w:rsidR="00B96AB8" w:rsidRDefault="00963670">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24"/>
        <w:gridCol w:w="1518"/>
        <w:gridCol w:w="1069"/>
      </w:tblGrid>
      <w:tr w:rsidR="00B96AB8">
        <w:tblPrEx>
          <w:tblCellMar>
            <w:top w:w="0" w:type="dxa"/>
            <w:bottom w:w="0" w:type="dxa"/>
          </w:tblCellMar>
        </w:tblPrEx>
        <w:tc>
          <w:tcPr>
            <w:tcW w:w="6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Tên giấy tờ</w:t>
            </w:r>
          </w:p>
        </w:tc>
        <w:tc>
          <w:tcPr>
            <w:tcW w:w="2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Mẫu đơn, tờ khai</w:t>
            </w:r>
          </w:p>
        </w:tc>
        <w:tc>
          <w:tcPr>
            <w:tcW w:w="2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Số lượng</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 Tờ khai đăng ký khai sinh theo mẫu.</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1. TK đăng ký khai sinh.doc</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 Bản chính Giấy chứng sinh; trường hợp không có Giấy chứng sinh thì nộp văn bản của người làm chứng xác nhận về việc sinh; nếu không có người làm chứng thì phải có giấy cam đoan về việc sinh;</w:t>
            </w:r>
          </w:p>
        </w:tc>
        <w:tc>
          <w:tcPr>
            <w:tcW w:w="0" w:type="auto"/>
          </w:tcPr>
          <w:p w:rsidR="00B96AB8" w:rsidRDefault="00B96AB8"/>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 xml:space="preserve">- Trường hợp khai </w:t>
            </w:r>
            <w:r>
              <w:rPr>
                <w:rFonts w:ascii="Times New Roman" w:eastAsia="Times New Roman" w:hAnsi="Times New Roman" w:cs="Times New Roman"/>
                <w:sz w:val="26"/>
              </w:rPr>
              <w:t>sinh cho trẻ em sinh ra do mang thai hộ phải có văn bản xác nhận của cơ sở y tế đã thực hiện kỹ thuật hỗ trợ sinh sản cho việc mang thai hộ.</w:t>
            </w:r>
          </w:p>
        </w:tc>
        <w:tc>
          <w:tcPr>
            <w:tcW w:w="0" w:type="auto"/>
          </w:tcPr>
          <w:p w:rsidR="00B96AB8" w:rsidRDefault="00B96AB8"/>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B96AB8" w:rsidRDefault="00963670">
      <w:pPr>
        <w:shd w:val="clear" w:color="auto" w:fill="F2F6F9"/>
        <w:spacing w:before="120" w:after="0" w:line="276" w:lineRule="auto"/>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1"/>
        <w:gridCol w:w="833"/>
        <w:gridCol w:w="937"/>
      </w:tblGrid>
      <w:tr w:rsidR="00B96AB8">
        <w:tblPrEx>
          <w:tblCellMar>
            <w:top w:w="0" w:type="dxa"/>
            <w:bottom w:w="0" w:type="dxa"/>
          </w:tblCellMar>
        </w:tblPrEx>
        <w:tc>
          <w:tcPr>
            <w:tcW w:w="6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Tên giấy tờ</w:t>
            </w:r>
          </w:p>
        </w:tc>
        <w:tc>
          <w:tcPr>
            <w:tcW w:w="2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Mẫu đơn, tờ khai</w:t>
            </w:r>
          </w:p>
        </w:tc>
        <w:tc>
          <w:tcPr>
            <w:tcW w:w="2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Số lượng</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 xml:space="preserve">- Hộ chiếu hoặc </w:t>
            </w:r>
            <w:r>
              <w:rPr>
                <w:rFonts w:ascii="Times New Roman" w:eastAsia="Times New Roman" w:hAnsi="Times New Roman" w:cs="Times New Roman"/>
                <w:sz w:val="26"/>
              </w:rPr>
              <w:t>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tc>
        <w:tc>
          <w:tcPr>
            <w:tcW w:w="0" w:type="auto"/>
          </w:tcPr>
          <w:p w:rsidR="00B96AB8" w:rsidRDefault="00B96AB8"/>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 xml:space="preserve">- Giấy tờ </w:t>
            </w:r>
            <w:r>
              <w:rPr>
                <w:rFonts w:ascii="Times New Roman" w:eastAsia="Times New Roman" w:hAnsi="Times New Roman" w:cs="Times New Roman"/>
                <w:sz w:val="26"/>
              </w:rPr>
              <w:t>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w:t>
            </w:r>
            <w:r>
              <w:rPr>
                <w:rFonts w:ascii="Times New Roman" w:eastAsia="Times New Roman" w:hAnsi="Times New Roman" w:cs="Times New Roman"/>
                <w:sz w:val="26"/>
              </w:rPr>
              <w:t>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tc>
        <w:tc>
          <w:tcPr>
            <w:tcW w:w="0" w:type="auto"/>
          </w:tcPr>
          <w:p w:rsidR="00B96AB8" w:rsidRDefault="00B96AB8"/>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Bản chí</w:t>
            </w:r>
            <w:r>
              <w:rPr>
                <w:rFonts w:ascii="Times New Roman" w:eastAsia="Times New Roman" w:hAnsi="Times New Roman" w:cs="Times New Roman"/>
                <w:sz w:val="26"/>
              </w:rPr>
              <w:t>nh: 1</w:t>
            </w:r>
            <w:r>
              <w:rPr>
                <w:rFonts w:ascii="Times New Roman" w:eastAsia="Times New Roman" w:hAnsi="Times New Roman" w:cs="Times New Roman"/>
                <w:sz w:val="26"/>
              </w:rPr>
              <w:br/>
              <w:t>Bản sao: 0</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 Giấy chứng nhận kết hôn nếu cha, mẹ đã đăng ký kết hôn. Trường hợp đã có thông tin về việc kết hôn của cha, mẹ trong CSDLHTĐT, CSDLQGVDC thì không phải xuất trình.</w:t>
            </w:r>
          </w:p>
        </w:tc>
        <w:tc>
          <w:tcPr>
            <w:tcW w:w="0" w:type="auto"/>
          </w:tcPr>
          <w:p w:rsidR="00B96AB8" w:rsidRDefault="00B96AB8"/>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B96AB8" w:rsidRDefault="0096367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B96AB8" w:rsidRDefault="00963670">
      <w:pPr>
        <w:spacing w:after="0" w:line="276" w:lineRule="auto"/>
        <w:jc w:val="both"/>
      </w:pPr>
      <w:r>
        <w:rPr>
          <w:rFonts w:ascii="Times New Roman" w:eastAsia="Times New Roman" w:hAnsi="Times New Roman" w:cs="Times New Roman"/>
          <w:b/>
          <w:sz w:val="26"/>
        </w:rPr>
        <w:t>Cơ qu</w:t>
      </w:r>
      <w:r>
        <w:rPr>
          <w:rFonts w:ascii="Times New Roman" w:eastAsia="Times New Roman" w:hAnsi="Times New Roman" w:cs="Times New Roman"/>
          <w:b/>
          <w:sz w:val="26"/>
        </w:rPr>
        <w:t xml:space="preserve">an thực hiện: </w:t>
      </w:r>
      <w:r>
        <w:rPr>
          <w:rFonts w:ascii="Times New Roman" w:eastAsia="Times New Roman" w:hAnsi="Times New Roman" w:cs="Times New Roman"/>
          <w:sz w:val="26"/>
        </w:rPr>
        <w:t>Ủy ban Nhân dân xã, phường, thị trấn.</w:t>
      </w:r>
    </w:p>
    <w:p w:rsidR="00B96AB8" w:rsidRDefault="0096367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B96AB8" w:rsidRDefault="0096367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nơi cư trú của người cha hoặc người mẹ.</w:t>
      </w:r>
    </w:p>
    <w:p w:rsidR="00B96AB8" w:rsidRDefault="0096367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96AB8" w:rsidRDefault="0096367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B96AB8" w:rsidRDefault="0096367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w:t>
      </w:r>
    </w:p>
    <w:p w:rsidR="00B96AB8" w:rsidRDefault="00963670">
      <w:pPr>
        <w:spacing w:after="0" w:line="276" w:lineRule="auto"/>
        <w:jc w:val="both"/>
      </w:pPr>
      <w:r>
        <w:rPr>
          <w:rFonts w:ascii="Times New Roman" w:eastAsia="Times New Roman" w:hAnsi="Times New Roman" w:cs="Times New Roman"/>
          <w:b/>
          <w:sz w:val="26"/>
        </w:rPr>
        <w:lastRenderedPageBreak/>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82"/>
        <w:gridCol w:w="5691"/>
        <w:gridCol w:w="816"/>
        <w:gridCol w:w="1222"/>
      </w:tblGrid>
      <w:tr w:rsidR="00B96AB8">
        <w:tblPrEx>
          <w:tblCellMar>
            <w:top w:w="0" w:type="dxa"/>
            <w:bottom w:w="0" w:type="dxa"/>
          </w:tblCellMar>
        </w:tblPrEx>
        <w:tc>
          <w:tcPr>
            <w:tcW w:w="2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Số ký hiệu</w:t>
            </w:r>
          </w:p>
        </w:tc>
        <w:tc>
          <w:tcPr>
            <w:tcW w:w="35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Trích yếu</w:t>
            </w:r>
          </w:p>
        </w:tc>
        <w:tc>
          <w:tcPr>
            <w:tcW w:w="15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Ngày ban hành</w:t>
            </w:r>
          </w:p>
        </w:tc>
        <w:tc>
          <w:tcPr>
            <w:tcW w:w="3000" w:type="dxa"/>
          </w:tcPr>
          <w:p w:rsidR="00B96AB8" w:rsidRDefault="00B96AB8"/>
          <w:p w:rsidR="00B96AB8" w:rsidRDefault="00963670">
            <w:pPr>
              <w:spacing w:after="0" w:line="276" w:lineRule="auto"/>
              <w:jc w:val="center"/>
            </w:pPr>
            <w:r>
              <w:rPr>
                <w:rFonts w:ascii="Times New Roman" w:eastAsia="Times New Roman" w:hAnsi="Times New Roman" w:cs="Times New Roman"/>
                <w:b/>
                <w:sz w:val="26"/>
              </w:rPr>
              <w:t>Cơ quan ban hành</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123/2015/NĐ-CP</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15-11-2015</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Chính phủ</w:t>
            </w:r>
          </w:p>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60/2014/QH13</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Luật 60/2014/QH13-Hộ tịch</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20-11-2014</w:t>
            </w:r>
          </w:p>
        </w:tc>
        <w:tc>
          <w:tcPr>
            <w:tcW w:w="0" w:type="auto"/>
          </w:tcPr>
          <w:p w:rsidR="00B96AB8" w:rsidRDefault="00B96AB8"/>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04/2020/TT-BTP</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Thông tư 04/2020/TT-BTP</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28-05-2020</w:t>
            </w:r>
          </w:p>
        </w:tc>
        <w:tc>
          <w:tcPr>
            <w:tcW w:w="0" w:type="auto"/>
          </w:tcPr>
          <w:p w:rsidR="00B96AB8" w:rsidRDefault="00B96AB8"/>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85/2019/TT-BTC</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Thông tư 85/2019/TT-BTC</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29-11-2019</w:t>
            </w:r>
          </w:p>
        </w:tc>
        <w:tc>
          <w:tcPr>
            <w:tcW w:w="0" w:type="auto"/>
          </w:tcPr>
          <w:p w:rsidR="00B96AB8" w:rsidRDefault="00B96AB8"/>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106/2021/TT-BTC</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Thông tư 106/2021/TT-BTC</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26-11-2021</w:t>
            </w:r>
          </w:p>
        </w:tc>
        <w:tc>
          <w:tcPr>
            <w:tcW w:w="0" w:type="auto"/>
          </w:tcPr>
          <w:p w:rsidR="00B96AB8" w:rsidRDefault="00B96AB8"/>
        </w:tc>
      </w:tr>
      <w:tr w:rsidR="00B96AB8">
        <w:tblPrEx>
          <w:tblCellMar>
            <w:top w:w="0" w:type="dxa"/>
            <w:bottom w:w="0" w:type="dxa"/>
          </w:tblCellMar>
        </w:tblPrEx>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104/2022/NĐ-CP</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21-12-2022</w:t>
            </w:r>
          </w:p>
        </w:tc>
        <w:tc>
          <w:tcPr>
            <w:tcW w:w="0" w:type="auto"/>
          </w:tcPr>
          <w:p w:rsidR="00B96AB8" w:rsidRDefault="00B96AB8"/>
          <w:p w:rsidR="00B96AB8" w:rsidRDefault="00963670">
            <w:pPr>
              <w:spacing w:after="0" w:line="276" w:lineRule="auto"/>
            </w:pPr>
            <w:r>
              <w:rPr>
                <w:rFonts w:ascii="Times New Roman" w:eastAsia="Times New Roman" w:hAnsi="Times New Roman" w:cs="Times New Roman"/>
                <w:sz w:val="26"/>
              </w:rPr>
              <w:t>Chính phủ</w:t>
            </w:r>
          </w:p>
        </w:tc>
      </w:tr>
    </w:tbl>
    <w:p w:rsidR="00B96AB8" w:rsidRDefault="0096367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Trẻ em </w:t>
      </w:r>
      <w:r>
        <w:rPr>
          <w:rFonts w:ascii="Times New Roman" w:eastAsia="Times New Roman" w:hAnsi="Times New Roman" w:cs="Times New Roman"/>
          <w:sz w:val="26"/>
        </w:rPr>
        <w:t xml:space="preserve">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w:t>
      </w:r>
      <w:r>
        <w:rPr>
          <w:rFonts w:ascii="Times New Roman" w:eastAsia="Times New Roman" w:hAnsi="Times New Roman" w:cs="Times New Roman"/>
          <w:sz w:val="26"/>
        </w:rPr>
        <w:t>trẻ.</w:t>
      </w:r>
    </w:p>
    <w:p w:rsidR="00B96AB8" w:rsidRDefault="0096367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B96AB8" w:rsidRDefault="0096367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96AB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B8"/>
    <w:rsid w:val="00963670"/>
    <w:rsid w:val="00B9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E6653-1341-4F61-87B4-1220069D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2024-03-11T07:11:00Z</dcterms:created>
  <dcterms:modified xsi:type="dcterms:W3CDTF">2024-03-11T07:11:00Z</dcterms:modified>
</cp:coreProperties>
</file>