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DB3" w:rsidRDefault="0000421D">
      <w:pPr>
        <w:spacing w:after="300" w:line="276" w:lineRule="auto"/>
        <w:jc w:val="center"/>
      </w:pPr>
      <w:r>
        <w:rPr>
          <w:rFonts w:ascii="Times New Roman" w:eastAsia="Times New Roman" w:hAnsi="Times New Roman" w:cs="Times New Roman"/>
          <w:b/>
          <w:sz w:val="26"/>
        </w:rPr>
        <w:t>Chi tiết thủ tục hành chính</w:t>
      </w:r>
    </w:p>
    <w:p w:rsidR="00290DB3" w:rsidRDefault="0000421D">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1.000419</w:t>
      </w:r>
    </w:p>
    <w:p w:rsidR="00290DB3" w:rsidRDefault="0000421D">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528/QĐ-BTP</w:t>
      </w:r>
    </w:p>
    <w:p w:rsidR="00290DB3" w:rsidRDefault="0000421D">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đăng ký khai tử lưu động</w:t>
      </w:r>
    </w:p>
    <w:bookmarkEnd w:id="0"/>
    <w:p w:rsidR="00290DB3" w:rsidRDefault="0000421D">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290DB3" w:rsidRDefault="0000421D">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290DB3" w:rsidRDefault="0000421D">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rsidR="00290DB3" w:rsidRDefault="0000421D">
      <w:pPr>
        <w:spacing w:after="0" w:line="276" w:lineRule="auto"/>
        <w:jc w:val="both"/>
      </w:pPr>
      <w:r>
        <w:rPr>
          <w:rFonts w:ascii="Times New Roman" w:eastAsia="Times New Roman" w:hAnsi="Times New Roman" w:cs="Times New Roman"/>
          <w:b/>
          <w:sz w:val="26"/>
        </w:rPr>
        <w:t xml:space="preserve">Trình tự thực hiện: </w:t>
      </w:r>
    </w:p>
    <w:p w:rsidR="00290DB3" w:rsidRDefault="00290DB3">
      <w:pPr>
        <w:shd w:val="clear" w:color="auto" w:fill="F2F6F9"/>
        <w:spacing w:before="120" w:after="0" w:line="276" w:lineRule="auto"/>
        <w:jc w:val="both"/>
      </w:pPr>
    </w:p>
    <w:p w:rsidR="00290DB3" w:rsidRDefault="0000421D">
      <w:pPr>
        <w:spacing w:after="0" w:line="276" w:lineRule="auto"/>
        <w:jc w:val="both"/>
      </w:pPr>
      <w:r>
        <w:rPr>
          <w:rFonts w:ascii="Times New Roman" w:eastAsia="Times New Roman" w:hAnsi="Times New Roman" w:cs="Times New Roman"/>
          <w:sz w:val="26"/>
        </w:rPr>
        <w:t xml:space="preserve">- Công chức tư pháp </w:t>
      </w:r>
      <w:r>
        <w:rPr>
          <w:rFonts w:ascii="Times New Roman" w:eastAsia="Times New Roman" w:hAnsi="Times New Roman" w:cs="Times New Roman"/>
          <w:sz w:val="26"/>
        </w:rPr>
        <w:t>- hộ tịch được giao nhiệm vụ đăng ký khai tử lưu động có trách nhiệm chuẩn bị đầy đủ mẫu Tờ khai đăng ký khai tử, giấy tờ hộ tịch và điều kiện cần thiết để thực hiện đăng ký lưu động tại nhà riêng hoặc tại địa điểm tổ chức đăng ký lưu động, bảo đảm thuận l</w:t>
      </w:r>
      <w:r>
        <w:rPr>
          <w:rFonts w:ascii="Times New Roman" w:eastAsia="Times New Roman" w:hAnsi="Times New Roman" w:cs="Times New Roman"/>
          <w:sz w:val="26"/>
        </w:rPr>
        <w:t>ợi cho người dân.</w:t>
      </w:r>
    </w:p>
    <w:p w:rsidR="00290DB3" w:rsidRDefault="0000421D">
      <w:pPr>
        <w:spacing w:after="0" w:line="276" w:lineRule="auto"/>
        <w:jc w:val="both"/>
      </w:pPr>
      <w:r>
        <w:rPr>
          <w:rFonts w:ascii="Times New Roman" w:eastAsia="Times New Roman" w:hAnsi="Times New Roman" w:cs="Times New Roman"/>
          <w:sz w:val="26"/>
        </w:rPr>
        <w:t>- Tại địa điểm đăng ký khai tử lưu động, công chức tư pháp - hộ tịch hướng dẫn người yêu cầu điền đầy đủ thông tin trong Tờ khai đăng ký khai tử, kiểm tra các giấy tờ làm cơ sở cho việc đăng ký khai tử; viết Phiếu tiếp nhận hồ sơ.</w:t>
      </w:r>
    </w:p>
    <w:p w:rsidR="00290DB3" w:rsidRDefault="0000421D">
      <w:pPr>
        <w:spacing w:after="0" w:line="276" w:lineRule="auto"/>
        <w:jc w:val="both"/>
      </w:pPr>
      <w:r>
        <w:rPr>
          <w:rFonts w:ascii="Times New Roman" w:eastAsia="Times New Roman" w:hAnsi="Times New Roman" w:cs="Times New Roman"/>
          <w:sz w:val="26"/>
        </w:rPr>
        <w:t>- Sau k</w:t>
      </w:r>
      <w:r>
        <w:rPr>
          <w:rFonts w:ascii="Times New Roman" w:eastAsia="Times New Roman" w:hAnsi="Times New Roman" w:cs="Times New Roman"/>
          <w:sz w:val="26"/>
        </w:rPr>
        <w:t xml:space="preserve">hi tiếp nhận hồ sơ, công chức tư pháp - hộ tịch báo cáo Chủ tịch Ủy ban nhân dân cấp xã. Trường hợp Chủ tịch Ủy ban nhân dân đồng ý giải quyết thì công chức tư pháp - hộ tịch thực hiện việc ghi vào Sổ đăng ký khai tử, cập nhật thông tin đăng ký khai tử và </w:t>
      </w:r>
      <w:r>
        <w:rPr>
          <w:rFonts w:ascii="Times New Roman" w:eastAsia="Times New Roman" w:hAnsi="Times New Roman" w:cs="Times New Roman"/>
          <w:sz w:val="26"/>
        </w:rPr>
        <w:t>lưu chính thức trên Phần mềm đăng ký, quản lý hộ tịch điện tử dùng chung, in Trích lục khai tử, trình Chủ tịch Ủy ban nhân dân ký Trích lục khai tử cấp cho người có yêu cầu.</w:t>
      </w:r>
    </w:p>
    <w:p w:rsidR="00290DB3" w:rsidRDefault="0000421D">
      <w:pPr>
        <w:spacing w:after="0" w:line="276" w:lineRule="auto"/>
        <w:jc w:val="both"/>
      </w:pPr>
      <w:r>
        <w:rPr>
          <w:rFonts w:ascii="Times New Roman" w:eastAsia="Times New Roman" w:hAnsi="Times New Roman" w:cs="Times New Roman"/>
          <w:sz w:val="26"/>
        </w:rPr>
        <w:t xml:space="preserve">- Công chức tư pháp - hộ tịch đem theo Trích lục khai tử và Sổ đăng ký khai tử để </w:t>
      </w:r>
      <w:r>
        <w:rPr>
          <w:rFonts w:ascii="Times New Roman" w:eastAsia="Times New Roman" w:hAnsi="Times New Roman" w:cs="Times New Roman"/>
          <w:sz w:val="26"/>
        </w:rPr>
        <w:t>trả kết quả cho người có yêu cầu tại địa điểm đăng ký lưu động; hướng dẫn người yêu cầu kiểm tra nội dung Trích lục khai tử và Sổ đăng ký khai tử, ký, ghi rõ họ, tên trong Sổ đăng ký khai tử; tại mục “Ghi chú” trong Sổ đăng ký khai tử ghi rõ “Đăng ký lưu đ</w:t>
      </w:r>
      <w:r>
        <w:rPr>
          <w:rFonts w:ascii="Times New Roman" w:eastAsia="Times New Roman" w:hAnsi="Times New Roman" w:cs="Times New Roman"/>
          <w:sz w:val="26"/>
        </w:rPr>
        <w:t>ộng”.</w:t>
      </w:r>
    </w:p>
    <w:p w:rsidR="00290DB3" w:rsidRDefault="0000421D">
      <w:pPr>
        <w:spacing w:after="0" w:line="276" w:lineRule="auto"/>
        <w:jc w:val="both"/>
      </w:pPr>
      <w:r>
        <w:rPr>
          <w:rFonts w:ascii="Times New Roman" w:eastAsia="Times New Roman" w:hAnsi="Times New Roman" w:cs="Times New Roman"/>
          <w:sz w:val="26"/>
        </w:rPr>
        <w:t xml:space="preserve">- Trường hợp người yêu cầu không biết chữ thì công chức tư pháp - hộ tịch trực tiếp ghi Tờ khai, sau đó đọc cho người yêu cầu nghe lại nội dung và hướng dẫn người đó điểm chỉ vào Tờ khai. Khi trả kết quả, công chức tư pháp - hộ tịch đọc lại nội dung </w:t>
      </w:r>
      <w:r>
        <w:rPr>
          <w:rFonts w:ascii="Times New Roman" w:eastAsia="Times New Roman" w:hAnsi="Times New Roman" w:cs="Times New Roman"/>
          <w:sz w:val="26"/>
        </w:rPr>
        <w:t>Trích lục khai tử cho người yêu cầu nghe và hướng dẫn người đó điểm chỉ vào Sổ đăng ký khai tử.</w:t>
      </w:r>
    </w:p>
    <w:p w:rsidR="00290DB3" w:rsidRDefault="0000421D">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16"/>
        <w:gridCol w:w="985"/>
        <w:gridCol w:w="6557"/>
        <w:gridCol w:w="1053"/>
      </w:tblGrid>
      <w:tr w:rsidR="00290DB3">
        <w:tblPrEx>
          <w:tblCellMar>
            <w:top w:w="0" w:type="dxa"/>
            <w:bottom w:w="0" w:type="dxa"/>
          </w:tblCellMar>
        </w:tblPrEx>
        <w:tc>
          <w:tcPr>
            <w:tcW w:w="1500" w:type="dxa"/>
          </w:tcPr>
          <w:p w:rsidR="00290DB3" w:rsidRDefault="00290DB3"/>
          <w:p w:rsidR="00290DB3" w:rsidRDefault="0000421D">
            <w:pPr>
              <w:spacing w:after="0" w:line="276" w:lineRule="auto"/>
              <w:jc w:val="center"/>
            </w:pPr>
            <w:r>
              <w:rPr>
                <w:rFonts w:ascii="Times New Roman" w:eastAsia="Times New Roman" w:hAnsi="Times New Roman" w:cs="Times New Roman"/>
                <w:b/>
                <w:sz w:val="26"/>
              </w:rPr>
              <w:t>Hình thức nộp</w:t>
            </w:r>
          </w:p>
        </w:tc>
        <w:tc>
          <w:tcPr>
            <w:tcW w:w="2000" w:type="dxa"/>
          </w:tcPr>
          <w:p w:rsidR="00290DB3" w:rsidRDefault="00290DB3"/>
          <w:p w:rsidR="00290DB3" w:rsidRDefault="0000421D">
            <w:pPr>
              <w:spacing w:after="0" w:line="276" w:lineRule="auto"/>
              <w:jc w:val="center"/>
            </w:pPr>
            <w:r>
              <w:rPr>
                <w:rFonts w:ascii="Times New Roman" w:eastAsia="Times New Roman" w:hAnsi="Times New Roman" w:cs="Times New Roman"/>
                <w:b/>
                <w:sz w:val="26"/>
              </w:rPr>
              <w:t>Thời hạn giải quyết</w:t>
            </w:r>
          </w:p>
        </w:tc>
        <w:tc>
          <w:tcPr>
            <w:tcW w:w="3500" w:type="dxa"/>
          </w:tcPr>
          <w:p w:rsidR="00290DB3" w:rsidRDefault="00290DB3"/>
          <w:p w:rsidR="00290DB3" w:rsidRDefault="0000421D">
            <w:pPr>
              <w:spacing w:after="0" w:line="276" w:lineRule="auto"/>
              <w:jc w:val="center"/>
            </w:pPr>
            <w:r>
              <w:rPr>
                <w:rFonts w:ascii="Times New Roman" w:eastAsia="Times New Roman" w:hAnsi="Times New Roman" w:cs="Times New Roman"/>
                <w:b/>
                <w:sz w:val="26"/>
              </w:rPr>
              <w:t>Phí, lệ phí</w:t>
            </w:r>
          </w:p>
        </w:tc>
        <w:tc>
          <w:tcPr>
            <w:tcW w:w="3000" w:type="dxa"/>
          </w:tcPr>
          <w:p w:rsidR="00290DB3" w:rsidRDefault="00290DB3"/>
          <w:p w:rsidR="00290DB3" w:rsidRDefault="0000421D">
            <w:pPr>
              <w:spacing w:after="0" w:line="276" w:lineRule="auto"/>
              <w:jc w:val="center"/>
            </w:pPr>
            <w:r>
              <w:rPr>
                <w:rFonts w:ascii="Times New Roman" w:eastAsia="Times New Roman" w:hAnsi="Times New Roman" w:cs="Times New Roman"/>
                <w:b/>
                <w:sz w:val="26"/>
              </w:rPr>
              <w:t>Mô tả</w:t>
            </w:r>
          </w:p>
        </w:tc>
      </w:tr>
      <w:tr w:rsidR="00290DB3">
        <w:tblPrEx>
          <w:tblCellMar>
            <w:top w:w="0" w:type="dxa"/>
            <w:bottom w:w="0" w:type="dxa"/>
          </w:tblCellMar>
        </w:tblPrEx>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Trực tiếp</w:t>
            </w:r>
          </w:p>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5 Ngày làm việc</w:t>
            </w:r>
          </w:p>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 xml:space="preserve">Lệ phí : Theo mức thu lệ phí do Hội đồng nhân dân cấp tỉnh quy định.  Miễn lệ phí đối với trường hợp đăng ký khai tử </w:t>
            </w:r>
            <w:r>
              <w:rPr>
                <w:rFonts w:ascii="Times New Roman" w:eastAsia="Times New Roman" w:hAnsi="Times New Roman" w:cs="Times New Roman"/>
                <w:sz w:val="26"/>
              </w:rPr>
              <w:lastRenderedPageBreak/>
              <w:t xml:space="preserve">đúng hạn; đăng ký cho người thuộc gia đình có công với cách mạng; người thuộc hộ nghèo; người khuyết tật. </w:t>
            </w:r>
          </w:p>
        </w:tc>
        <w:tc>
          <w:tcPr>
            <w:tcW w:w="0" w:type="auto"/>
          </w:tcPr>
          <w:p w:rsidR="00290DB3" w:rsidRDefault="00290DB3"/>
        </w:tc>
      </w:tr>
    </w:tbl>
    <w:p w:rsidR="00290DB3" w:rsidRDefault="0000421D">
      <w:pPr>
        <w:spacing w:before="240" w:after="0" w:line="276" w:lineRule="auto"/>
        <w:jc w:val="both"/>
      </w:pPr>
      <w:r>
        <w:rPr>
          <w:rFonts w:ascii="Times New Roman" w:eastAsia="Times New Roman" w:hAnsi="Times New Roman" w:cs="Times New Roman"/>
          <w:b/>
          <w:sz w:val="26"/>
        </w:rPr>
        <w:t xml:space="preserve">Thành phần hồ sơ: </w:t>
      </w:r>
    </w:p>
    <w:p w:rsidR="00290DB3" w:rsidRDefault="0000421D">
      <w:pPr>
        <w:shd w:val="clear" w:color="auto" w:fill="F2F6F9"/>
        <w:spacing w:before="120" w:after="0" w:line="276" w:lineRule="auto"/>
        <w:jc w:val="both"/>
      </w:pPr>
      <w:r>
        <w:rPr>
          <w:rFonts w:ascii="Times New Roman" w:eastAsia="Times New Roman" w:hAnsi="Times New Roman" w:cs="Times New Roman"/>
          <w:b/>
          <w:sz w:val="26"/>
        </w:rPr>
        <w:t xml:space="preserve">* Giấy tờ </w:t>
      </w:r>
      <w:r>
        <w:rPr>
          <w:rFonts w:ascii="Times New Roman" w:eastAsia="Times New Roman" w:hAnsi="Times New Roman" w:cs="Times New Roman"/>
          <w:b/>
          <w:sz w:val="26"/>
        </w:rPr>
        <w:t>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765"/>
        <w:gridCol w:w="2078"/>
        <w:gridCol w:w="1568"/>
      </w:tblGrid>
      <w:tr w:rsidR="00290DB3">
        <w:tblPrEx>
          <w:tblCellMar>
            <w:top w:w="0" w:type="dxa"/>
            <w:bottom w:w="0" w:type="dxa"/>
          </w:tblCellMar>
        </w:tblPrEx>
        <w:tc>
          <w:tcPr>
            <w:tcW w:w="6000" w:type="dxa"/>
          </w:tcPr>
          <w:p w:rsidR="00290DB3" w:rsidRDefault="00290DB3"/>
          <w:p w:rsidR="00290DB3" w:rsidRDefault="0000421D">
            <w:pPr>
              <w:spacing w:after="0" w:line="276" w:lineRule="auto"/>
              <w:jc w:val="center"/>
            </w:pPr>
            <w:r>
              <w:rPr>
                <w:rFonts w:ascii="Times New Roman" w:eastAsia="Times New Roman" w:hAnsi="Times New Roman" w:cs="Times New Roman"/>
                <w:b/>
                <w:sz w:val="26"/>
              </w:rPr>
              <w:t>Tên giấy tờ</w:t>
            </w:r>
          </w:p>
        </w:tc>
        <w:tc>
          <w:tcPr>
            <w:tcW w:w="2000" w:type="dxa"/>
          </w:tcPr>
          <w:p w:rsidR="00290DB3" w:rsidRDefault="00290DB3"/>
          <w:p w:rsidR="00290DB3" w:rsidRDefault="0000421D">
            <w:pPr>
              <w:spacing w:after="0" w:line="276" w:lineRule="auto"/>
              <w:jc w:val="center"/>
            </w:pPr>
            <w:r>
              <w:rPr>
                <w:rFonts w:ascii="Times New Roman" w:eastAsia="Times New Roman" w:hAnsi="Times New Roman" w:cs="Times New Roman"/>
                <w:b/>
                <w:sz w:val="26"/>
              </w:rPr>
              <w:t>Mẫu đơn, tờ khai</w:t>
            </w:r>
          </w:p>
        </w:tc>
        <w:tc>
          <w:tcPr>
            <w:tcW w:w="2000" w:type="dxa"/>
          </w:tcPr>
          <w:p w:rsidR="00290DB3" w:rsidRDefault="00290DB3"/>
          <w:p w:rsidR="00290DB3" w:rsidRDefault="0000421D">
            <w:pPr>
              <w:spacing w:after="0" w:line="276" w:lineRule="auto"/>
              <w:jc w:val="center"/>
            </w:pPr>
            <w:r>
              <w:rPr>
                <w:rFonts w:ascii="Times New Roman" w:eastAsia="Times New Roman" w:hAnsi="Times New Roman" w:cs="Times New Roman"/>
                <w:b/>
                <w:sz w:val="26"/>
              </w:rPr>
              <w:t>Số lượng</w:t>
            </w:r>
          </w:p>
        </w:tc>
      </w:tr>
      <w:tr w:rsidR="00290DB3">
        <w:tblPrEx>
          <w:tblCellMar>
            <w:top w:w="0" w:type="dxa"/>
            <w:bottom w:w="0" w:type="dxa"/>
          </w:tblCellMar>
        </w:tblPrEx>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 Tờ khai đăng ký khai tử theo mẫu;</w:t>
            </w:r>
          </w:p>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3. TK đăng ký khai tử.doc</w:t>
            </w:r>
          </w:p>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290DB3">
        <w:tblPrEx>
          <w:tblCellMar>
            <w:top w:w="0" w:type="dxa"/>
            <w:bottom w:w="0" w:type="dxa"/>
          </w:tblCellMar>
        </w:tblPrEx>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 Giấy báo tử hoặc giấy tờ thay thế Giấy báo tử do cơ quan có thẩm quyền cấp.</w:t>
            </w:r>
          </w:p>
        </w:tc>
        <w:tc>
          <w:tcPr>
            <w:tcW w:w="0" w:type="auto"/>
          </w:tcPr>
          <w:p w:rsidR="00290DB3" w:rsidRDefault="00290DB3"/>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290DB3" w:rsidRDefault="0000421D">
      <w:pPr>
        <w:shd w:val="clear" w:color="auto" w:fill="F2F6F9"/>
        <w:spacing w:before="120" w:after="0" w:line="276" w:lineRule="auto"/>
        <w:jc w:val="both"/>
      </w:pPr>
      <w:r>
        <w:rPr>
          <w:rFonts w:ascii="Times New Roman" w:eastAsia="Times New Roman" w:hAnsi="Times New Roman" w:cs="Times New Roman"/>
          <w:b/>
          <w:sz w:val="26"/>
        </w:rPr>
        <w:t xml:space="preserve">* Giấy </w:t>
      </w:r>
      <w:r>
        <w:rPr>
          <w:rFonts w:ascii="Times New Roman" w:eastAsia="Times New Roman" w:hAnsi="Times New Roman" w:cs="Times New Roman"/>
          <w:b/>
          <w:sz w:val="26"/>
        </w:rPr>
        <w:t>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637"/>
        <w:gridCol w:w="835"/>
        <w:gridCol w:w="939"/>
      </w:tblGrid>
      <w:tr w:rsidR="00290DB3">
        <w:tblPrEx>
          <w:tblCellMar>
            <w:top w:w="0" w:type="dxa"/>
            <w:bottom w:w="0" w:type="dxa"/>
          </w:tblCellMar>
        </w:tblPrEx>
        <w:tc>
          <w:tcPr>
            <w:tcW w:w="6000" w:type="dxa"/>
          </w:tcPr>
          <w:p w:rsidR="00290DB3" w:rsidRDefault="00290DB3"/>
          <w:p w:rsidR="00290DB3" w:rsidRDefault="0000421D">
            <w:pPr>
              <w:spacing w:after="0" w:line="276" w:lineRule="auto"/>
              <w:jc w:val="center"/>
            </w:pPr>
            <w:r>
              <w:rPr>
                <w:rFonts w:ascii="Times New Roman" w:eastAsia="Times New Roman" w:hAnsi="Times New Roman" w:cs="Times New Roman"/>
                <w:b/>
                <w:sz w:val="26"/>
              </w:rPr>
              <w:t>Tên giấy tờ</w:t>
            </w:r>
          </w:p>
        </w:tc>
        <w:tc>
          <w:tcPr>
            <w:tcW w:w="2000" w:type="dxa"/>
          </w:tcPr>
          <w:p w:rsidR="00290DB3" w:rsidRDefault="00290DB3"/>
          <w:p w:rsidR="00290DB3" w:rsidRDefault="0000421D">
            <w:pPr>
              <w:spacing w:after="0" w:line="276" w:lineRule="auto"/>
              <w:jc w:val="center"/>
            </w:pPr>
            <w:r>
              <w:rPr>
                <w:rFonts w:ascii="Times New Roman" w:eastAsia="Times New Roman" w:hAnsi="Times New Roman" w:cs="Times New Roman"/>
                <w:b/>
                <w:sz w:val="26"/>
              </w:rPr>
              <w:t>Mẫu đơn, tờ khai</w:t>
            </w:r>
          </w:p>
        </w:tc>
        <w:tc>
          <w:tcPr>
            <w:tcW w:w="2000" w:type="dxa"/>
          </w:tcPr>
          <w:p w:rsidR="00290DB3" w:rsidRDefault="00290DB3"/>
          <w:p w:rsidR="00290DB3" w:rsidRDefault="0000421D">
            <w:pPr>
              <w:spacing w:after="0" w:line="276" w:lineRule="auto"/>
              <w:jc w:val="center"/>
            </w:pPr>
            <w:r>
              <w:rPr>
                <w:rFonts w:ascii="Times New Roman" w:eastAsia="Times New Roman" w:hAnsi="Times New Roman" w:cs="Times New Roman"/>
                <w:b/>
                <w:sz w:val="26"/>
              </w:rPr>
              <w:t>Số lượng</w:t>
            </w:r>
          </w:p>
        </w:tc>
      </w:tr>
      <w:tr w:rsidR="00290DB3">
        <w:tblPrEx>
          <w:tblCellMar>
            <w:top w:w="0" w:type="dxa"/>
            <w:bottom w:w="0" w:type="dxa"/>
          </w:tblCellMar>
        </w:tblPrEx>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 Hộ chiếu hoặc Chứng minh nhân dân hoặc Thẻ căn cước công dân hoặc các giấy tờ khác có dán ảnh và thông tin cá nhân do cơ quan có thẩm quyền cấp, còn giá trị sử dụng để chứng minh về nhân thân</w:t>
            </w:r>
            <w:r>
              <w:rPr>
                <w:rFonts w:ascii="Times New Roman" w:eastAsia="Times New Roman" w:hAnsi="Times New Roman" w:cs="Times New Roman"/>
                <w:sz w:val="26"/>
              </w:rPr>
              <w:t xml:space="preserve"> của người có yêu cầu đăng ký khai tử.</w:t>
            </w:r>
          </w:p>
        </w:tc>
        <w:tc>
          <w:tcPr>
            <w:tcW w:w="0" w:type="auto"/>
          </w:tcPr>
          <w:p w:rsidR="00290DB3" w:rsidRDefault="00290DB3"/>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290DB3">
        <w:tblPrEx>
          <w:tblCellMar>
            <w:top w:w="0" w:type="dxa"/>
            <w:bottom w:w="0" w:type="dxa"/>
          </w:tblCellMar>
        </w:tblPrEx>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 Giấy tờ chứng minh nơi cư trú cuối cùng của người chết để xác định        thẩm quyền trong trường hợp cơ quan đăng ký hộ tịch không thể khai thác được thông tin về nơi cư trú của công dân</w:t>
            </w:r>
            <w:r>
              <w:rPr>
                <w:rFonts w:ascii="Times New Roman" w:eastAsia="Times New Roman" w:hAnsi="Times New Roman" w:cs="Times New Roman"/>
                <w:sz w:val="26"/>
              </w:rPr>
              <w:t xml:space="preserve">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w:t>
            </w:r>
            <w:r>
              <w:rPr>
                <w:rFonts w:ascii="Times New Roman" w:eastAsia="Times New Roman" w:hAnsi="Times New Roman" w:cs="Times New Roman"/>
                <w:sz w:val="26"/>
              </w:rPr>
              <w:t xml:space="preserve"> có yêu cầu không phải xuất trình (theo hình thức trực tiếp) hoặc tải lên (theo hình thức trực tuyến).</w:t>
            </w:r>
          </w:p>
        </w:tc>
        <w:tc>
          <w:tcPr>
            <w:tcW w:w="0" w:type="auto"/>
          </w:tcPr>
          <w:p w:rsidR="00290DB3" w:rsidRDefault="00290DB3"/>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290DB3">
        <w:tblPrEx>
          <w:tblCellMar>
            <w:top w:w="0" w:type="dxa"/>
            <w:bottom w:w="0" w:type="dxa"/>
          </w:tblCellMar>
        </w:tblPrEx>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 Trường hợp không xác định được nơi cư trú cuối cùng của người chết thì xuất trình giấy tờ chứng minh nơi người đó chết hoặc</w:t>
            </w:r>
            <w:r>
              <w:rPr>
                <w:rFonts w:ascii="Times New Roman" w:eastAsia="Times New Roman" w:hAnsi="Times New Roman" w:cs="Times New Roman"/>
                <w:sz w:val="26"/>
              </w:rPr>
              <w:t xml:space="preserve"> nơi phát hiện thi thể của người chết.</w:t>
            </w:r>
          </w:p>
        </w:tc>
        <w:tc>
          <w:tcPr>
            <w:tcW w:w="0" w:type="auto"/>
          </w:tcPr>
          <w:p w:rsidR="00290DB3" w:rsidRDefault="00290DB3"/>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 xml:space="preserve">Bản sao: </w:t>
            </w:r>
            <w:r>
              <w:rPr>
                <w:rFonts w:ascii="Times New Roman" w:eastAsia="Times New Roman" w:hAnsi="Times New Roman" w:cs="Times New Roman"/>
                <w:sz w:val="26"/>
              </w:rPr>
              <w:lastRenderedPageBreak/>
              <w:t>0</w:t>
            </w:r>
          </w:p>
        </w:tc>
      </w:tr>
    </w:tbl>
    <w:p w:rsidR="00290DB3" w:rsidRDefault="0000421D">
      <w:pPr>
        <w:spacing w:before="240" w:after="0" w:line="276" w:lineRule="auto"/>
        <w:jc w:val="both"/>
      </w:pPr>
      <w:r>
        <w:rPr>
          <w:rFonts w:ascii="Times New Roman" w:eastAsia="Times New Roman" w:hAnsi="Times New Roman" w:cs="Times New Roman"/>
          <w:b/>
          <w:sz w:val="26"/>
        </w:rPr>
        <w:lastRenderedPageBreak/>
        <w:t xml:space="preserve">Đối tượng thực hiện: </w:t>
      </w:r>
      <w:r>
        <w:rPr>
          <w:rFonts w:ascii="Times New Roman" w:eastAsia="Times New Roman" w:hAnsi="Times New Roman" w:cs="Times New Roman"/>
          <w:sz w:val="26"/>
        </w:rPr>
        <w:t>Công dân Việt Nam</w:t>
      </w:r>
    </w:p>
    <w:p w:rsidR="00290DB3" w:rsidRDefault="0000421D">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290DB3" w:rsidRDefault="0000421D">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rsidR="00290DB3" w:rsidRDefault="0000421D">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 xml:space="preserve">Thực hiện </w:t>
      </w:r>
      <w:r>
        <w:rPr>
          <w:rFonts w:ascii="Times New Roman" w:eastAsia="Times New Roman" w:hAnsi="Times New Roman" w:cs="Times New Roman"/>
          <w:sz w:val="26"/>
        </w:rPr>
        <w:t>đăng ký lưu động tại nhà riêng hoặc tại địa điểm tổ chức đăng ký lưu động, bảo đảm thuận lợi cho người dân.</w:t>
      </w:r>
    </w:p>
    <w:p w:rsidR="00290DB3" w:rsidRDefault="0000421D">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290DB3" w:rsidRDefault="0000421D">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290DB3" w:rsidRDefault="0000421D">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Trích lục khai tử</w:t>
      </w:r>
    </w:p>
    <w:p w:rsidR="00290DB3" w:rsidRDefault="0000421D">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683"/>
        <w:gridCol w:w="5679"/>
        <w:gridCol w:w="819"/>
        <w:gridCol w:w="1230"/>
      </w:tblGrid>
      <w:tr w:rsidR="00290DB3">
        <w:tblPrEx>
          <w:tblCellMar>
            <w:top w:w="0" w:type="dxa"/>
            <w:bottom w:w="0" w:type="dxa"/>
          </w:tblCellMar>
        </w:tblPrEx>
        <w:tc>
          <w:tcPr>
            <w:tcW w:w="2000" w:type="dxa"/>
          </w:tcPr>
          <w:p w:rsidR="00290DB3" w:rsidRDefault="00290DB3"/>
          <w:p w:rsidR="00290DB3" w:rsidRDefault="0000421D">
            <w:pPr>
              <w:spacing w:after="0" w:line="276" w:lineRule="auto"/>
              <w:jc w:val="center"/>
            </w:pPr>
            <w:r>
              <w:rPr>
                <w:rFonts w:ascii="Times New Roman" w:eastAsia="Times New Roman" w:hAnsi="Times New Roman" w:cs="Times New Roman"/>
                <w:b/>
                <w:sz w:val="26"/>
              </w:rPr>
              <w:t>Số ký hiệu</w:t>
            </w:r>
          </w:p>
        </w:tc>
        <w:tc>
          <w:tcPr>
            <w:tcW w:w="3500" w:type="dxa"/>
          </w:tcPr>
          <w:p w:rsidR="00290DB3" w:rsidRDefault="00290DB3"/>
          <w:p w:rsidR="00290DB3" w:rsidRDefault="0000421D">
            <w:pPr>
              <w:spacing w:after="0" w:line="276" w:lineRule="auto"/>
              <w:jc w:val="center"/>
            </w:pPr>
            <w:r>
              <w:rPr>
                <w:rFonts w:ascii="Times New Roman" w:eastAsia="Times New Roman" w:hAnsi="Times New Roman" w:cs="Times New Roman"/>
                <w:b/>
                <w:sz w:val="26"/>
              </w:rPr>
              <w:t>Trích yếu</w:t>
            </w:r>
          </w:p>
        </w:tc>
        <w:tc>
          <w:tcPr>
            <w:tcW w:w="1500" w:type="dxa"/>
          </w:tcPr>
          <w:p w:rsidR="00290DB3" w:rsidRDefault="00290DB3"/>
          <w:p w:rsidR="00290DB3" w:rsidRDefault="0000421D">
            <w:pPr>
              <w:spacing w:after="0" w:line="276" w:lineRule="auto"/>
              <w:jc w:val="center"/>
            </w:pPr>
            <w:r>
              <w:rPr>
                <w:rFonts w:ascii="Times New Roman" w:eastAsia="Times New Roman" w:hAnsi="Times New Roman" w:cs="Times New Roman"/>
                <w:b/>
                <w:sz w:val="26"/>
              </w:rPr>
              <w:t>Ngày ban hành</w:t>
            </w:r>
          </w:p>
        </w:tc>
        <w:tc>
          <w:tcPr>
            <w:tcW w:w="3000" w:type="dxa"/>
          </w:tcPr>
          <w:p w:rsidR="00290DB3" w:rsidRDefault="00290DB3"/>
          <w:p w:rsidR="00290DB3" w:rsidRDefault="0000421D">
            <w:pPr>
              <w:spacing w:after="0" w:line="276" w:lineRule="auto"/>
              <w:jc w:val="center"/>
            </w:pPr>
            <w:r>
              <w:rPr>
                <w:rFonts w:ascii="Times New Roman" w:eastAsia="Times New Roman" w:hAnsi="Times New Roman" w:cs="Times New Roman"/>
                <w:b/>
                <w:sz w:val="26"/>
              </w:rPr>
              <w:t>Cơ quan ban hành</w:t>
            </w:r>
          </w:p>
        </w:tc>
      </w:tr>
      <w:tr w:rsidR="00290DB3">
        <w:tblPrEx>
          <w:tblCellMar>
            <w:top w:w="0" w:type="dxa"/>
            <w:bottom w:w="0" w:type="dxa"/>
          </w:tblCellMar>
        </w:tblPrEx>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60/2014/QH13</w:t>
            </w:r>
          </w:p>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Luật 60/2014/QH13</w:t>
            </w:r>
          </w:p>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20-11-2014</w:t>
            </w:r>
          </w:p>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Quốc Hội</w:t>
            </w:r>
          </w:p>
        </w:tc>
      </w:tr>
      <w:tr w:rsidR="00290DB3">
        <w:tblPrEx>
          <w:tblCellMar>
            <w:top w:w="0" w:type="dxa"/>
            <w:bottom w:w="0" w:type="dxa"/>
          </w:tblCellMar>
        </w:tblPrEx>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123/2015/NĐ-CP</w:t>
            </w:r>
          </w:p>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Nghị định 123/2015/NĐ-CP</w:t>
            </w:r>
          </w:p>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15-11-2015</w:t>
            </w:r>
          </w:p>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Chính phủ</w:t>
            </w:r>
          </w:p>
        </w:tc>
      </w:tr>
      <w:tr w:rsidR="00290DB3">
        <w:tblPrEx>
          <w:tblCellMar>
            <w:top w:w="0" w:type="dxa"/>
            <w:bottom w:w="0" w:type="dxa"/>
          </w:tblCellMar>
        </w:tblPrEx>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04/2020/TT-BTP</w:t>
            </w:r>
          </w:p>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Thông tư 04/2020/TT-BTP</w:t>
            </w:r>
          </w:p>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28-05-2020</w:t>
            </w:r>
          </w:p>
        </w:tc>
        <w:tc>
          <w:tcPr>
            <w:tcW w:w="0" w:type="auto"/>
          </w:tcPr>
          <w:p w:rsidR="00290DB3" w:rsidRDefault="00290DB3"/>
        </w:tc>
      </w:tr>
      <w:tr w:rsidR="00290DB3">
        <w:tblPrEx>
          <w:tblCellMar>
            <w:top w:w="0" w:type="dxa"/>
            <w:bottom w:w="0" w:type="dxa"/>
          </w:tblCellMar>
        </w:tblPrEx>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85/2019/TT-BTC</w:t>
            </w:r>
          </w:p>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 xml:space="preserve">Thông tư </w:t>
            </w:r>
            <w:r>
              <w:rPr>
                <w:rFonts w:ascii="Times New Roman" w:eastAsia="Times New Roman" w:hAnsi="Times New Roman" w:cs="Times New Roman"/>
                <w:sz w:val="26"/>
              </w:rPr>
              <w:t>85/2019/TT-BTC</w:t>
            </w:r>
          </w:p>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29-11-2019</w:t>
            </w:r>
          </w:p>
        </w:tc>
        <w:tc>
          <w:tcPr>
            <w:tcW w:w="0" w:type="auto"/>
          </w:tcPr>
          <w:p w:rsidR="00290DB3" w:rsidRDefault="00290DB3"/>
        </w:tc>
      </w:tr>
      <w:tr w:rsidR="00290DB3">
        <w:tblPrEx>
          <w:tblCellMar>
            <w:top w:w="0" w:type="dxa"/>
            <w:bottom w:w="0" w:type="dxa"/>
          </w:tblCellMar>
        </w:tblPrEx>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106/2021/TT-BTC</w:t>
            </w:r>
          </w:p>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Thông tư 106/2021/TT-BTC</w:t>
            </w:r>
          </w:p>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26-11-2021</w:t>
            </w:r>
          </w:p>
        </w:tc>
        <w:tc>
          <w:tcPr>
            <w:tcW w:w="0" w:type="auto"/>
          </w:tcPr>
          <w:p w:rsidR="00290DB3" w:rsidRDefault="00290DB3"/>
        </w:tc>
      </w:tr>
      <w:tr w:rsidR="00290DB3">
        <w:tblPrEx>
          <w:tblCellMar>
            <w:top w:w="0" w:type="dxa"/>
            <w:bottom w:w="0" w:type="dxa"/>
          </w:tblCellMar>
        </w:tblPrEx>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104/2022/NĐ-CP</w:t>
            </w:r>
          </w:p>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w:t>
            </w:r>
            <w:r>
              <w:rPr>
                <w:rFonts w:ascii="Times New Roman" w:eastAsia="Times New Roman" w:hAnsi="Times New Roman" w:cs="Times New Roman"/>
                <w:sz w:val="26"/>
              </w:rPr>
              <w:t xml:space="preserve"> cung cấp dịch vụ công</w:t>
            </w:r>
          </w:p>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21-12-2022</w:t>
            </w:r>
          </w:p>
        </w:tc>
        <w:tc>
          <w:tcPr>
            <w:tcW w:w="0" w:type="auto"/>
          </w:tcPr>
          <w:p w:rsidR="00290DB3" w:rsidRDefault="00290DB3"/>
          <w:p w:rsidR="00290DB3" w:rsidRDefault="0000421D">
            <w:pPr>
              <w:spacing w:after="0" w:line="276" w:lineRule="auto"/>
            </w:pPr>
            <w:r>
              <w:rPr>
                <w:rFonts w:ascii="Times New Roman" w:eastAsia="Times New Roman" w:hAnsi="Times New Roman" w:cs="Times New Roman"/>
                <w:sz w:val="26"/>
              </w:rPr>
              <w:t>Chính phủ</w:t>
            </w:r>
          </w:p>
        </w:tc>
      </w:tr>
    </w:tbl>
    <w:p w:rsidR="00290DB3" w:rsidRDefault="0000421D">
      <w:pPr>
        <w:spacing w:before="240" w:after="0" w:line="276" w:lineRule="auto"/>
        <w:jc w:val="both"/>
      </w:pPr>
      <w:r>
        <w:rPr>
          <w:rFonts w:ascii="Times New Roman" w:eastAsia="Times New Roman" w:hAnsi="Times New Roman" w:cs="Times New Roman"/>
          <w:b/>
          <w:sz w:val="26"/>
        </w:rPr>
        <w:lastRenderedPageBreak/>
        <w:t xml:space="preserve">Yêu cầu, điều kiện thực hiện: </w:t>
      </w:r>
      <w:r>
        <w:rPr>
          <w:rFonts w:ascii="Times New Roman" w:eastAsia="Times New Roman" w:hAnsi="Times New Roman" w:cs="Times New Roman"/>
          <w:sz w:val="26"/>
        </w:rPr>
        <w:t>Người chết không có người thân thích, người thân thích không sống cùng địa bàn xã hoặc là người già, yếu, khuyết tật không đi đăng ký khai tử được.</w:t>
      </w:r>
    </w:p>
    <w:p w:rsidR="00290DB3" w:rsidRDefault="0000421D">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290DB3" w:rsidRDefault="0000421D">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290DB3">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B3"/>
    <w:rsid w:val="0000421D"/>
    <w:rsid w:val="00290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DE572-5C0D-4392-B9C9-BBF25E44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2024-03-11T07:18:00Z</dcterms:created>
  <dcterms:modified xsi:type="dcterms:W3CDTF">2024-03-11T07:18:00Z</dcterms:modified>
</cp:coreProperties>
</file>