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503" w:rsidRDefault="00DF4561">
      <w:pPr>
        <w:spacing w:after="300" w:line="276" w:lineRule="auto"/>
        <w:jc w:val="center"/>
      </w:pPr>
      <w:bookmarkStart w:id="0" w:name="_GoBack"/>
      <w:bookmarkEnd w:id="0"/>
      <w:r>
        <w:rPr>
          <w:rFonts w:ascii="Times New Roman" w:eastAsia="Times New Roman" w:hAnsi="Times New Roman" w:cs="Times New Roman"/>
          <w:b/>
          <w:sz w:val="26"/>
        </w:rPr>
        <w:t>Chi tiết thủ tục hành chính</w:t>
      </w:r>
    </w:p>
    <w:p w:rsidR="00262503" w:rsidRDefault="00DF4561">
      <w:pPr>
        <w:spacing w:after="0" w:line="276" w:lineRule="auto"/>
        <w:jc w:val="both"/>
      </w:pPr>
      <w:r>
        <w:rPr>
          <w:rFonts w:ascii="Times New Roman" w:eastAsia="Times New Roman" w:hAnsi="Times New Roman" w:cs="Times New Roman"/>
          <w:b/>
          <w:sz w:val="26"/>
        </w:rPr>
        <w:t xml:space="preserve">Mã thủ tục: </w:t>
      </w:r>
      <w:r>
        <w:rPr>
          <w:rFonts w:ascii="Times New Roman" w:eastAsia="Times New Roman" w:hAnsi="Times New Roman" w:cs="Times New Roman"/>
          <w:sz w:val="26"/>
        </w:rPr>
        <w:t>2.001157</w:t>
      </w:r>
    </w:p>
    <w:p w:rsidR="00262503" w:rsidRDefault="00DF4561">
      <w:pPr>
        <w:spacing w:after="0" w:line="276" w:lineRule="auto"/>
        <w:jc w:val="both"/>
      </w:pPr>
      <w:r>
        <w:rPr>
          <w:rFonts w:ascii="Times New Roman" w:eastAsia="Times New Roman" w:hAnsi="Times New Roman" w:cs="Times New Roman"/>
          <w:b/>
          <w:sz w:val="26"/>
        </w:rPr>
        <w:t xml:space="preserve">Số quyết định: </w:t>
      </w:r>
      <w:r>
        <w:rPr>
          <w:rFonts w:ascii="Times New Roman" w:eastAsia="Times New Roman" w:hAnsi="Times New Roman" w:cs="Times New Roman"/>
          <w:sz w:val="26"/>
        </w:rPr>
        <w:t>1829/QĐ-LĐTBXH</w:t>
      </w:r>
    </w:p>
    <w:p w:rsidR="00262503" w:rsidRDefault="00DF4561">
      <w:pPr>
        <w:spacing w:after="0" w:line="276" w:lineRule="auto"/>
        <w:jc w:val="both"/>
      </w:pPr>
      <w:r>
        <w:rPr>
          <w:rFonts w:ascii="Times New Roman" w:eastAsia="Times New Roman" w:hAnsi="Times New Roman" w:cs="Times New Roman"/>
          <w:b/>
          <w:sz w:val="26"/>
        </w:rPr>
        <w:t xml:space="preserve">Tên thủ tục: </w:t>
      </w:r>
      <w:r>
        <w:rPr>
          <w:rFonts w:ascii="Times New Roman" w:eastAsia="Times New Roman" w:hAnsi="Times New Roman" w:cs="Times New Roman"/>
          <w:sz w:val="26"/>
        </w:rPr>
        <w:t>Trợ cấp một lần đối với thanh niên xung phong đã hoàn thành nhiệm vụ trong kháng chiến</w:t>
      </w:r>
    </w:p>
    <w:p w:rsidR="00262503" w:rsidRDefault="00DF4561">
      <w:pPr>
        <w:spacing w:after="0" w:line="276" w:lineRule="auto"/>
        <w:jc w:val="both"/>
      </w:pPr>
      <w:r>
        <w:rPr>
          <w:rFonts w:ascii="Times New Roman" w:eastAsia="Times New Roman" w:hAnsi="Times New Roman" w:cs="Times New Roman"/>
          <w:b/>
          <w:sz w:val="26"/>
        </w:rPr>
        <w:t xml:space="preserve">Cấp thực hiện: </w:t>
      </w:r>
      <w:r>
        <w:rPr>
          <w:rFonts w:ascii="Times New Roman" w:eastAsia="Times New Roman" w:hAnsi="Times New Roman" w:cs="Times New Roman"/>
          <w:sz w:val="26"/>
        </w:rPr>
        <w:t>Cấp Tỉnh, Cấp Xã, Cơ quan khác</w:t>
      </w:r>
    </w:p>
    <w:p w:rsidR="00262503" w:rsidRDefault="00DF4561">
      <w:pPr>
        <w:spacing w:after="0" w:line="276" w:lineRule="auto"/>
        <w:jc w:val="both"/>
      </w:pPr>
      <w:r>
        <w:rPr>
          <w:rFonts w:ascii="Times New Roman" w:eastAsia="Times New Roman" w:hAnsi="Times New Roman" w:cs="Times New Roman"/>
          <w:b/>
          <w:sz w:val="26"/>
        </w:rPr>
        <w:t xml:space="preserve">Loại thủ tục: </w:t>
      </w:r>
      <w:r>
        <w:rPr>
          <w:rFonts w:ascii="Times New Roman" w:eastAsia="Times New Roman" w:hAnsi="Times New Roman" w:cs="Times New Roman"/>
          <w:sz w:val="26"/>
        </w:rPr>
        <w:t xml:space="preserve">TTHC không được </w:t>
      </w:r>
      <w:r>
        <w:rPr>
          <w:rFonts w:ascii="Times New Roman" w:eastAsia="Times New Roman" w:hAnsi="Times New Roman" w:cs="Times New Roman"/>
          <w:sz w:val="26"/>
        </w:rPr>
        <w:t>luật giao cho địa phương quy định hoặc quy định chi tiết</w:t>
      </w:r>
    </w:p>
    <w:p w:rsidR="00262503" w:rsidRDefault="00DF4561">
      <w:pPr>
        <w:spacing w:after="0" w:line="276" w:lineRule="auto"/>
        <w:jc w:val="both"/>
      </w:pPr>
      <w:r>
        <w:rPr>
          <w:rFonts w:ascii="Times New Roman" w:eastAsia="Times New Roman" w:hAnsi="Times New Roman" w:cs="Times New Roman"/>
          <w:b/>
          <w:sz w:val="26"/>
        </w:rPr>
        <w:t xml:space="preserve">Lĩnh vực: </w:t>
      </w:r>
      <w:r>
        <w:rPr>
          <w:rFonts w:ascii="Times New Roman" w:eastAsia="Times New Roman" w:hAnsi="Times New Roman" w:cs="Times New Roman"/>
          <w:sz w:val="26"/>
        </w:rPr>
        <w:t>Người có công</w:t>
      </w:r>
    </w:p>
    <w:p w:rsidR="00262503" w:rsidRDefault="00DF4561">
      <w:pPr>
        <w:spacing w:after="0" w:line="276" w:lineRule="auto"/>
        <w:jc w:val="both"/>
      </w:pPr>
      <w:r>
        <w:rPr>
          <w:rFonts w:ascii="Times New Roman" w:eastAsia="Times New Roman" w:hAnsi="Times New Roman" w:cs="Times New Roman"/>
          <w:b/>
          <w:sz w:val="26"/>
        </w:rPr>
        <w:t xml:space="preserve">Trình tự thực hiện: </w:t>
      </w:r>
    </w:p>
    <w:p w:rsidR="00262503" w:rsidRDefault="00262503">
      <w:pPr>
        <w:shd w:val="clear" w:color="auto" w:fill="F2F6F9"/>
        <w:spacing w:before="120" w:after="0" w:line="276" w:lineRule="auto"/>
        <w:jc w:val="both"/>
      </w:pPr>
    </w:p>
    <w:p w:rsidR="00262503" w:rsidRDefault="00DF4561">
      <w:pPr>
        <w:spacing w:after="0" w:line="276" w:lineRule="auto"/>
        <w:jc w:val="both"/>
      </w:pPr>
      <w:r>
        <w:rPr>
          <w:rFonts w:ascii="Times New Roman" w:eastAsia="Times New Roman" w:hAnsi="Times New Roman" w:cs="Times New Roman"/>
          <w:sz w:val="26"/>
        </w:rPr>
        <w:t>Bước 1: Đối tượng thanh niên xung phong (TNXP) hoặc thân nhân của TNXP (trường hợp TNXP đã từ trần) thực hiện nộp 01 bộ hồ sơ theo quy định cho Ủy ban nh</w:t>
      </w:r>
      <w:r>
        <w:rPr>
          <w:rFonts w:ascii="Times New Roman" w:eastAsia="Times New Roman" w:hAnsi="Times New Roman" w:cs="Times New Roman"/>
          <w:sz w:val="26"/>
        </w:rPr>
        <w:t>ân dân cấp xã nơi đăng ký hộ khẩu thường trú. Bước 2: Trong thời hạn 05 ngày làm việc, kể từ ngày nhận đủ hồ sơ theo quy định (theo từng đợt), Ủy ban nhân dân cấp xã có trách nhiệm: (1) Tổ chức hội nghị và lập biên bản xác nhận hồ sơ xét hưởng chế độ trợ c</w:t>
      </w:r>
      <w:r>
        <w:rPr>
          <w:rFonts w:ascii="Times New Roman" w:eastAsia="Times New Roman" w:hAnsi="Times New Roman" w:cs="Times New Roman"/>
          <w:sz w:val="26"/>
        </w:rPr>
        <w:t xml:space="preserve">ấp theo Mẫu số 08 tại Phụ lục ban hành kèm theo Thông tư 08/2023/TT-BLĐTBXH ngày 29/8/2023 của Bộ trưởng Bộ Lao động - Thương binh và Xã hội sửa đổi, bổ sung, bãi bỏ một số điều của các Thông tư, Thông tư liên tịch có quy định liên quan đến việc nộp, xuất </w:t>
      </w:r>
      <w:r>
        <w:rPr>
          <w:rFonts w:ascii="Times New Roman" w:eastAsia="Times New Roman" w:hAnsi="Times New Roman" w:cs="Times New Roman"/>
          <w:sz w:val="26"/>
        </w:rPr>
        <w:t>trình sổ hộ khẩu giấy, sổ tạm trú giấy hoặc giấy tờ có yêu cầu xác nhận nơi cư trú khi thực hiện thủ tục hành chính (TTHC) thuộc lĩnh vực quản lý nhà nước của Bộ Lao động - Thương binh và Xã hội (sau đây gọi tắt là Thông tư số 08/2023/TT-BLĐTBXH).  Thành p</w:t>
      </w:r>
      <w:r>
        <w:rPr>
          <w:rFonts w:ascii="Times New Roman" w:eastAsia="Times New Roman" w:hAnsi="Times New Roman" w:cs="Times New Roman"/>
          <w:sz w:val="26"/>
        </w:rPr>
        <w:t>hần hội nghị gồm đại diện lãnh đạo cấp xã (Ủy ban nhân dân, Đảng ủy, Mặt trận Tổ quốc, Hội cựu TNXP hoặc Ban liên lạc cựu TNXP), Trưởng thôn có đối tượng TNXP đề nghị giải quyết chế độ trợ cấp. (2) Tổng hợp hồ sơ xét hưởng chế độ trợ cấp đối với TNXP báo c</w:t>
      </w:r>
      <w:r>
        <w:rPr>
          <w:rFonts w:ascii="Times New Roman" w:eastAsia="Times New Roman" w:hAnsi="Times New Roman" w:cs="Times New Roman"/>
          <w:sz w:val="26"/>
        </w:rPr>
        <w:t>áo Ủy ban nhân dân cấp huyện (gửi qua Phòng Nội vụ). Bước 3: Trong thời hạn 05 ngày làm việc, kể từ ngày nhận đủ hồ sơ theo quy định (theo từng đợt), Ủy ban nhân dân cấp huyện chỉ đạo Phòng Nội vụ hoàn thành việc kiểm tra hồ sơ và tổng hợp báo cáo Ủy ban n</w:t>
      </w:r>
      <w:r>
        <w:rPr>
          <w:rFonts w:ascii="Times New Roman" w:eastAsia="Times New Roman" w:hAnsi="Times New Roman" w:cs="Times New Roman"/>
          <w:sz w:val="26"/>
        </w:rPr>
        <w:t>hân dân cấp tỉnh (gửi qua Sở Nội vụ). Bước 4: Ủy ban nhân dân tỉnh có trách nhiệm: Chỉ đạo Sở Nội vụ: Trong thời hạn 10 ngày làm việc, kể từ ngày nhận đủ hồ sơ theo quy định (theo từng đợt), Sở Nội vụ chủ trì, phối hợp với Sở Lao động - Thương binh và Xã h</w:t>
      </w:r>
      <w:r>
        <w:rPr>
          <w:rFonts w:ascii="Times New Roman" w:eastAsia="Times New Roman" w:hAnsi="Times New Roman" w:cs="Times New Roman"/>
          <w:sz w:val="26"/>
        </w:rPr>
        <w:t>ội hoàn thành việc xét duyệt, thẩm định, tổng hợp, trình Ủy ban nhân dân cấp tỉnh ra quyết định hưởng chế độ trợ cấp một lần theo Mẫu số 9, Mẫu số 10 tại Phụ lục ban hành kèm theo Thông tư 08/2023/TT-BLĐTBXH kèm theo biểu tổng hợp danh sách TNXP đề nghị hư</w:t>
      </w:r>
      <w:r>
        <w:rPr>
          <w:rFonts w:ascii="Times New Roman" w:eastAsia="Times New Roman" w:hAnsi="Times New Roman" w:cs="Times New Roman"/>
          <w:sz w:val="26"/>
        </w:rPr>
        <w:t xml:space="preserve">ởng chế độ trợ cấp một lần lập theo Mẫu số 12, Mẫu số 13 tại Phụ lục ban hành kèm theo Thông tư 08/2023/TT-BLĐTBXH. Đối với trường hợp TNXP không còn một trong các giấy tờ chứng minh là TNXP, Sở Nội vụ tổng hợp, chuyển danh sách đối tượng đến Hội cựu TNXP </w:t>
      </w:r>
      <w:r>
        <w:rPr>
          <w:rFonts w:ascii="Times New Roman" w:eastAsia="Times New Roman" w:hAnsi="Times New Roman" w:cs="Times New Roman"/>
          <w:sz w:val="26"/>
        </w:rPr>
        <w:t xml:space="preserve">cấp tỉnh đề nghị kiểm tra, xác nhận cho ý kiến trước khi trình Ủy ban </w:t>
      </w:r>
      <w:r>
        <w:rPr>
          <w:rFonts w:ascii="Times New Roman" w:eastAsia="Times New Roman" w:hAnsi="Times New Roman" w:cs="Times New Roman"/>
          <w:sz w:val="26"/>
        </w:rPr>
        <w:lastRenderedPageBreak/>
        <w:t>nhân dân cấp tỉnh ra quyết định. Sau khi có Quyết định của Chủ tịch Ủy ban nhân dân cấp tỉnh, Sở Nội vụ chuyển quyết định kèm theo hồ sơ xét hưởng chế độ trợ cấp của đối tượng cho Sở Lao</w:t>
      </w:r>
      <w:r>
        <w:rPr>
          <w:rFonts w:ascii="Times New Roman" w:eastAsia="Times New Roman" w:hAnsi="Times New Roman" w:cs="Times New Roman"/>
          <w:sz w:val="26"/>
        </w:rPr>
        <w:t xml:space="preserve"> động - Thương binh và Xã hội quản lý. Chỉ đạo Sở Lao động - Thương binh và Xã hội: Trong thời hạn 05 ngày làm việc, kể từ ngày nhận được Quyết định về giải quyết chế độ trợ cấp đối với TNXP (theo từng đợt), Sở Lao động - Thương binh và Xã hội hoàn thành v</w:t>
      </w:r>
      <w:r>
        <w:rPr>
          <w:rFonts w:ascii="Times New Roman" w:eastAsia="Times New Roman" w:hAnsi="Times New Roman" w:cs="Times New Roman"/>
          <w:sz w:val="26"/>
        </w:rPr>
        <w:t>iệc tổng hợp danh sách đối tượng được hưởng trợ cấp một lần theo Mẫu số 15 tại  Phụ lục ban hành kèm theo Thông tư 08/2023/TT-BLĐTBXH kèm theo công văn đề nghị bổ sung dự toán chi chế độ trợ cấp một lần, gửi 02 bản về Bộ Lao động - Thương binh và Xã hội. S</w:t>
      </w:r>
      <w:r>
        <w:rPr>
          <w:rFonts w:ascii="Times New Roman" w:eastAsia="Times New Roman" w:hAnsi="Times New Roman" w:cs="Times New Roman"/>
          <w:sz w:val="26"/>
        </w:rPr>
        <w:t>ở Lao động - Thương binh và Xã hội có trách nhiệm lưu giữ hồ sơ đối tượng được hưởng chế độ trợ cấp theo quy định.</w:t>
      </w:r>
    </w:p>
    <w:p w:rsidR="00262503" w:rsidRDefault="00DF4561">
      <w:pPr>
        <w:spacing w:before="240" w:after="0" w:line="276" w:lineRule="auto"/>
        <w:jc w:val="both"/>
      </w:pPr>
      <w:r>
        <w:rPr>
          <w:rFonts w:ascii="Times New Roman" w:eastAsia="Times New Roman" w:hAnsi="Times New Roman" w:cs="Times New Roman"/>
          <w:b/>
          <w:sz w:val="26"/>
        </w:rPr>
        <w:t xml:space="preserve">Cách thức thực hiện: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1227"/>
        <w:gridCol w:w="1271"/>
        <w:gridCol w:w="1868"/>
        <w:gridCol w:w="5045"/>
      </w:tblGrid>
      <w:tr w:rsidR="00262503">
        <w:tblPrEx>
          <w:tblCellMar>
            <w:top w:w="0" w:type="dxa"/>
            <w:bottom w:w="0" w:type="dxa"/>
          </w:tblCellMar>
        </w:tblPrEx>
        <w:tc>
          <w:tcPr>
            <w:tcW w:w="1500" w:type="dxa"/>
          </w:tcPr>
          <w:p w:rsidR="00262503" w:rsidRDefault="00262503"/>
          <w:p w:rsidR="00262503" w:rsidRDefault="00DF4561">
            <w:pPr>
              <w:spacing w:after="0" w:line="276" w:lineRule="auto"/>
              <w:jc w:val="center"/>
            </w:pPr>
            <w:r>
              <w:rPr>
                <w:rFonts w:ascii="Times New Roman" w:eastAsia="Times New Roman" w:hAnsi="Times New Roman" w:cs="Times New Roman"/>
                <w:b/>
                <w:sz w:val="26"/>
              </w:rPr>
              <w:t>Hình thức nộp</w:t>
            </w:r>
          </w:p>
        </w:tc>
        <w:tc>
          <w:tcPr>
            <w:tcW w:w="2000" w:type="dxa"/>
          </w:tcPr>
          <w:p w:rsidR="00262503" w:rsidRDefault="00262503"/>
          <w:p w:rsidR="00262503" w:rsidRDefault="00DF4561">
            <w:pPr>
              <w:spacing w:after="0" w:line="276" w:lineRule="auto"/>
              <w:jc w:val="center"/>
            </w:pPr>
            <w:r>
              <w:rPr>
                <w:rFonts w:ascii="Times New Roman" w:eastAsia="Times New Roman" w:hAnsi="Times New Roman" w:cs="Times New Roman"/>
                <w:b/>
                <w:sz w:val="26"/>
              </w:rPr>
              <w:t>Thời hạn giải quyết</w:t>
            </w:r>
          </w:p>
        </w:tc>
        <w:tc>
          <w:tcPr>
            <w:tcW w:w="3500" w:type="dxa"/>
          </w:tcPr>
          <w:p w:rsidR="00262503" w:rsidRDefault="00262503"/>
          <w:p w:rsidR="00262503" w:rsidRDefault="00DF4561">
            <w:pPr>
              <w:spacing w:after="0" w:line="276" w:lineRule="auto"/>
              <w:jc w:val="center"/>
            </w:pPr>
            <w:r>
              <w:rPr>
                <w:rFonts w:ascii="Times New Roman" w:eastAsia="Times New Roman" w:hAnsi="Times New Roman" w:cs="Times New Roman"/>
                <w:b/>
                <w:sz w:val="26"/>
              </w:rPr>
              <w:t>Phí, lệ phí</w:t>
            </w:r>
          </w:p>
        </w:tc>
        <w:tc>
          <w:tcPr>
            <w:tcW w:w="3000" w:type="dxa"/>
          </w:tcPr>
          <w:p w:rsidR="00262503" w:rsidRDefault="00262503"/>
          <w:p w:rsidR="00262503" w:rsidRDefault="00DF4561">
            <w:pPr>
              <w:spacing w:after="0" w:line="276" w:lineRule="auto"/>
              <w:jc w:val="center"/>
            </w:pPr>
            <w:r>
              <w:rPr>
                <w:rFonts w:ascii="Times New Roman" w:eastAsia="Times New Roman" w:hAnsi="Times New Roman" w:cs="Times New Roman"/>
                <w:b/>
                <w:sz w:val="26"/>
              </w:rPr>
              <w:t>Mô tả</w:t>
            </w:r>
          </w:p>
        </w:tc>
      </w:tr>
      <w:tr w:rsidR="00262503">
        <w:tblPrEx>
          <w:tblCellMar>
            <w:top w:w="0" w:type="dxa"/>
            <w:bottom w:w="0" w:type="dxa"/>
          </w:tblCellMar>
        </w:tblPrEx>
        <w:tc>
          <w:tcPr>
            <w:tcW w:w="0" w:type="auto"/>
          </w:tcPr>
          <w:p w:rsidR="00262503" w:rsidRDefault="00262503"/>
          <w:p w:rsidR="00262503" w:rsidRDefault="00DF4561">
            <w:pPr>
              <w:spacing w:after="0" w:line="276" w:lineRule="auto"/>
            </w:pPr>
            <w:r>
              <w:rPr>
                <w:rFonts w:ascii="Times New Roman" w:eastAsia="Times New Roman" w:hAnsi="Times New Roman" w:cs="Times New Roman"/>
                <w:sz w:val="26"/>
              </w:rPr>
              <w:t>Trực tiếp</w:t>
            </w:r>
          </w:p>
        </w:tc>
        <w:tc>
          <w:tcPr>
            <w:tcW w:w="0" w:type="auto"/>
          </w:tcPr>
          <w:p w:rsidR="00262503" w:rsidRDefault="00262503"/>
          <w:p w:rsidR="00262503" w:rsidRDefault="00DF4561">
            <w:pPr>
              <w:spacing w:after="0" w:line="276" w:lineRule="auto"/>
            </w:pPr>
            <w:r>
              <w:rPr>
                <w:rFonts w:ascii="Times New Roman" w:eastAsia="Times New Roman" w:hAnsi="Times New Roman" w:cs="Times New Roman"/>
                <w:sz w:val="26"/>
              </w:rPr>
              <w:t>25 Ngày làm việc</w:t>
            </w:r>
          </w:p>
        </w:tc>
        <w:tc>
          <w:tcPr>
            <w:tcW w:w="0" w:type="auto"/>
          </w:tcPr>
          <w:p w:rsidR="00262503" w:rsidRDefault="00262503"/>
          <w:p w:rsidR="00262503" w:rsidRDefault="00262503">
            <w:pPr>
              <w:spacing w:after="0" w:line="276" w:lineRule="auto"/>
            </w:pPr>
          </w:p>
        </w:tc>
        <w:tc>
          <w:tcPr>
            <w:tcW w:w="0" w:type="auto"/>
          </w:tcPr>
          <w:p w:rsidR="00262503" w:rsidRDefault="00262503"/>
          <w:p w:rsidR="00262503" w:rsidRDefault="00DF4561">
            <w:pPr>
              <w:spacing w:after="0" w:line="276" w:lineRule="auto"/>
            </w:pPr>
            <w:r>
              <w:rPr>
                <w:rFonts w:ascii="Times New Roman" w:eastAsia="Times New Roman" w:hAnsi="Times New Roman" w:cs="Times New Roman"/>
                <w:sz w:val="26"/>
              </w:rPr>
              <w:t xml:space="preserve">Kể từ ngày nhận đủ giấy tờ </w:t>
            </w:r>
            <w:r>
              <w:rPr>
                <w:rFonts w:ascii="Times New Roman" w:eastAsia="Times New Roman" w:hAnsi="Times New Roman" w:cs="Times New Roman"/>
                <w:sz w:val="26"/>
              </w:rPr>
              <w:t>(Thời gian cụ thể được quy định tại từng bước của trình tự thực hiện).</w:t>
            </w:r>
          </w:p>
        </w:tc>
      </w:tr>
      <w:tr w:rsidR="00262503">
        <w:tblPrEx>
          <w:tblCellMar>
            <w:top w:w="0" w:type="dxa"/>
            <w:bottom w:w="0" w:type="dxa"/>
          </w:tblCellMar>
        </w:tblPrEx>
        <w:tc>
          <w:tcPr>
            <w:tcW w:w="0" w:type="auto"/>
          </w:tcPr>
          <w:p w:rsidR="00262503" w:rsidRDefault="00262503"/>
          <w:p w:rsidR="00262503" w:rsidRDefault="00DF4561">
            <w:pPr>
              <w:spacing w:after="0" w:line="276" w:lineRule="auto"/>
            </w:pPr>
            <w:r>
              <w:rPr>
                <w:rFonts w:ascii="Times New Roman" w:eastAsia="Times New Roman" w:hAnsi="Times New Roman" w:cs="Times New Roman"/>
                <w:sz w:val="26"/>
              </w:rPr>
              <w:t>Trực tuyến</w:t>
            </w:r>
          </w:p>
        </w:tc>
        <w:tc>
          <w:tcPr>
            <w:tcW w:w="0" w:type="auto"/>
          </w:tcPr>
          <w:p w:rsidR="00262503" w:rsidRDefault="00262503"/>
          <w:p w:rsidR="00262503" w:rsidRDefault="00DF4561">
            <w:pPr>
              <w:spacing w:after="0" w:line="276" w:lineRule="auto"/>
            </w:pPr>
            <w:r>
              <w:rPr>
                <w:rFonts w:ascii="Times New Roman" w:eastAsia="Times New Roman" w:hAnsi="Times New Roman" w:cs="Times New Roman"/>
                <w:sz w:val="26"/>
              </w:rPr>
              <w:t>25 Ngày làm việc</w:t>
            </w:r>
          </w:p>
        </w:tc>
        <w:tc>
          <w:tcPr>
            <w:tcW w:w="0" w:type="auto"/>
          </w:tcPr>
          <w:p w:rsidR="00262503" w:rsidRDefault="00262503"/>
          <w:p w:rsidR="00262503" w:rsidRDefault="00262503">
            <w:pPr>
              <w:spacing w:after="0" w:line="276" w:lineRule="auto"/>
            </w:pPr>
          </w:p>
        </w:tc>
        <w:tc>
          <w:tcPr>
            <w:tcW w:w="0" w:type="auto"/>
          </w:tcPr>
          <w:p w:rsidR="00262503" w:rsidRDefault="00262503"/>
          <w:p w:rsidR="00262503" w:rsidRDefault="00DF4561">
            <w:pPr>
              <w:spacing w:after="0" w:line="276" w:lineRule="auto"/>
            </w:pPr>
            <w:r>
              <w:rPr>
                <w:rFonts w:ascii="Times New Roman" w:eastAsia="Times New Roman" w:hAnsi="Times New Roman" w:cs="Times New Roman"/>
                <w:sz w:val="26"/>
              </w:rPr>
              <w:t>Kể từ ngày nhận đủ giấy tờ (Thời gian cụ thể được quy định tại từng bước của trình tự thực hiện).</w:t>
            </w:r>
          </w:p>
        </w:tc>
      </w:tr>
      <w:tr w:rsidR="00262503">
        <w:tblPrEx>
          <w:tblCellMar>
            <w:top w:w="0" w:type="dxa"/>
            <w:bottom w:w="0" w:type="dxa"/>
          </w:tblCellMar>
        </w:tblPrEx>
        <w:tc>
          <w:tcPr>
            <w:tcW w:w="0" w:type="auto"/>
          </w:tcPr>
          <w:p w:rsidR="00262503" w:rsidRDefault="00262503"/>
          <w:p w:rsidR="00262503" w:rsidRDefault="00DF4561">
            <w:pPr>
              <w:spacing w:after="0" w:line="276" w:lineRule="auto"/>
            </w:pPr>
            <w:r>
              <w:rPr>
                <w:rFonts w:ascii="Times New Roman" w:eastAsia="Times New Roman" w:hAnsi="Times New Roman" w:cs="Times New Roman"/>
                <w:sz w:val="26"/>
              </w:rPr>
              <w:t>Dịch vụ bưu chính</w:t>
            </w:r>
          </w:p>
        </w:tc>
        <w:tc>
          <w:tcPr>
            <w:tcW w:w="0" w:type="auto"/>
          </w:tcPr>
          <w:p w:rsidR="00262503" w:rsidRDefault="00262503"/>
          <w:p w:rsidR="00262503" w:rsidRDefault="00DF4561">
            <w:pPr>
              <w:spacing w:after="0" w:line="276" w:lineRule="auto"/>
            </w:pPr>
            <w:r>
              <w:rPr>
                <w:rFonts w:ascii="Times New Roman" w:eastAsia="Times New Roman" w:hAnsi="Times New Roman" w:cs="Times New Roman"/>
                <w:sz w:val="26"/>
              </w:rPr>
              <w:t>25 Ngày làm việc</w:t>
            </w:r>
          </w:p>
        </w:tc>
        <w:tc>
          <w:tcPr>
            <w:tcW w:w="0" w:type="auto"/>
          </w:tcPr>
          <w:p w:rsidR="00262503" w:rsidRDefault="00262503"/>
          <w:p w:rsidR="00262503" w:rsidRDefault="00262503">
            <w:pPr>
              <w:spacing w:after="0" w:line="276" w:lineRule="auto"/>
            </w:pPr>
          </w:p>
        </w:tc>
        <w:tc>
          <w:tcPr>
            <w:tcW w:w="0" w:type="auto"/>
          </w:tcPr>
          <w:p w:rsidR="00262503" w:rsidRDefault="00262503"/>
          <w:p w:rsidR="00262503" w:rsidRDefault="00DF4561">
            <w:pPr>
              <w:spacing w:after="0" w:line="276" w:lineRule="auto"/>
            </w:pPr>
            <w:r>
              <w:rPr>
                <w:rFonts w:ascii="Times New Roman" w:eastAsia="Times New Roman" w:hAnsi="Times New Roman" w:cs="Times New Roman"/>
                <w:sz w:val="26"/>
              </w:rPr>
              <w:t xml:space="preserve">Kể từ ngày </w:t>
            </w:r>
            <w:r>
              <w:rPr>
                <w:rFonts w:ascii="Times New Roman" w:eastAsia="Times New Roman" w:hAnsi="Times New Roman" w:cs="Times New Roman"/>
                <w:sz w:val="26"/>
              </w:rPr>
              <w:t>nhận đủ giấy tờ (Thời gian cụ thể được quy định tại từng bước của trình tự thực hiện).</w:t>
            </w:r>
          </w:p>
        </w:tc>
      </w:tr>
    </w:tbl>
    <w:p w:rsidR="00262503" w:rsidRDefault="00DF4561">
      <w:pPr>
        <w:spacing w:before="240" w:after="0" w:line="276" w:lineRule="auto"/>
        <w:jc w:val="both"/>
      </w:pPr>
      <w:r>
        <w:rPr>
          <w:rFonts w:ascii="Times New Roman" w:eastAsia="Times New Roman" w:hAnsi="Times New Roman" w:cs="Times New Roman"/>
          <w:b/>
          <w:sz w:val="26"/>
        </w:rPr>
        <w:t xml:space="preserve">Thành phần hồ sơ: </w:t>
      </w:r>
    </w:p>
    <w:p w:rsidR="00262503" w:rsidRDefault="00DF4561">
      <w:pPr>
        <w:shd w:val="clear" w:color="auto" w:fill="F2F6F9"/>
        <w:spacing w:before="120" w:after="0" w:line="276" w:lineRule="auto"/>
        <w:jc w:val="both"/>
      </w:pPr>
      <w:r>
        <w:rPr>
          <w:rFonts w:ascii="Times New Roman" w:eastAsia="Times New Roman" w:hAnsi="Times New Roman" w:cs="Times New Roman"/>
          <w:b/>
          <w:sz w:val="26"/>
        </w:rPr>
        <w:t>Bao gồm</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7407"/>
        <w:gridCol w:w="1075"/>
        <w:gridCol w:w="929"/>
      </w:tblGrid>
      <w:tr w:rsidR="00262503">
        <w:tblPrEx>
          <w:tblCellMar>
            <w:top w:w="0" w:type="dxa"/>
            <w:bottom w:w="0" w:type="dxa"/>
          </w:tblCellMar>
        </w:tblPrEx>
        <w:tc>
          <w:tcPr>
            <w:tcW w:w="6000" w:type="dxa"/>
          </w:tcPr>
          <w:p w:rsidR="00262503" w:rsidRDefault="00262503"/>
          <w:p w:rsidR="00262503" w:rsidRDefault="00DF4561">
            <w:pPr>
              <w:spacing w:after="0" w:line="276" w:lineRule="auto"/>
              <w:jc w:val="center"/>
            </w:pPr>
            <w:r>
              <w:rPr>
                <w:rFonts w:ascii="Times New Roman" w:eastAsia="Times New Roman" w:hAnsi="Times New Roman" w:cs="Times New Roman"/>
                <w:b/>
                <w:sz w:val="26"/>
              </w:rPr>
              <w:t>Tên giấy tờ</w:t>
            </w:r>
          </w:p>
        </w:tc>
        <w:tc>
          <w:tcPr>
            <w:tcW w:w="2000" w:type="dxa"/>
          </w:tcPr>
          <w:p w:rsidR="00262503" w:rsidRDefault="00262503"/>
          <w:p w:rsidR="00262503" w:rsidRDefault="00DF4561">
            <w:pPr>
              <w:spacing w:after="0" w:line="276" w:lineRule="auto"/>
              <w:jc w:val="center"/>
            </w:pPr>
            <w:r>
              <w:rPr>
                <w:rFonts w:ascii="Times New Roman" w:eastAsia="Times New Roman" w:hAnsi="Times New Roman" w:cs="Times New Roman"/>
                <w:b/>
                <w:sz w:val="26"/>
              </w:rPr>
              <w:t>Mẫu đơn, tờ khai</w:t>
            </w:r>
          </w:p>
        </w:tc>
        <w:tc>
          <w:tcPr>
            <w:tcW w:w="2000" w:type="dxa"/>
          </w:tcPr>
          <w:p w:rsidR="00262503" w:rsidRDefault="00262503"/>
          <w:p w:rsidR="00262503" w:rsidRDefault="00DF4561">
            <w:pPr>
              <w:spacing w:after="0" w:line="276" w:lineRule="auto"/>
              <w:jc w:val="center"/>
            </w:pPr>
            <w:r>
              <w:rPr>
                <w:rFonts w:ascii="Times New Roman" w:eastAsia="Times New Roman" w:hAnsi="Times New Roman" w:cs="Times New Roman"/>
                <w:b/>
                <w:sz w:val="26"/>
              </w:rPr>
              <w:t>Số lượng</w:t>
            </w:r>
          </w:p>
        </w:tc>
      </w:tr>
      <w:tr w:rsidR="00262503">
        <w:tblPrEx>
          <w:tblCellMar>
            <w:top w:w="0" w:type="dxa"/>
            <w:bottom w:w="0" w:type="dxa"/>
          </w:tblCellMar>
        </w:tblPrEx>
        <w:tc>
          <w:tcPr>
            <w:tcW w:w="0" w:type="auto"/>
          </w:tcPr>
          <w:p w:rsidR="00262503" w:rsidRDefault="00262503"/>
          <w:p w:rsidR="00262503" w:rsidRDefault="00DF4561">
            <w:pPr>
              <w:spacing w:after="0" w:line="276" w:lineRule="auto"/>
            </w:pPr>
            <w:r>
              <w:rPr>
                <w:rFonts w:ascii="Times New Roman" w:eastAsia="Times New Roman" w:hAnsi="Times New Roman" w:cs="Times New Roman"/>
                <w:sz w:val="26"/>
              </w:rPr>
              <w:t>- Một trong các giấy tờ sau đây chứng minh là TNXP (là bản chính hoặc bản sao có chứng thực của Ủy</w:t>
            </w:r>
            <w:r>
              <w:rPr>
                <w:rFonts w:ascii="Times New Roman" w:eastAsia="Times New Roman" w:hAnsi="Times New Roman" w:cs="Times New Roman"/>
                <w:sz w:val="26"/>
              </w:rPr>
              <w:t xml:space="preserve"> ban nhân dân cấp xã): + Lý lịch </w:t>
            </w:r>
            <w:r>
              <w:rPr>
                <w:rFonts w:ascii="Times New Roman" w:eastAsia="Times New Roman" w:hAnsi="Times New Roman" w:cs="Times New Roman"/>
                <w:sz w:val="26"/>
              </w:rPr>
              <w:lastRenderedPageBreak/>
              <w:t xml:space="preserve">cán bộ hoặc lý lịch đảng viên khai trước ngày Quyết định số 104/1999/QĐ-TTg ngày 14/4/1999 có hiệu lực thi hành. + Giấy tờ do cơ quan có thẩm quyền cấp trước khi TNXP trở về địa phương như: Giấy chứng nhận hoàn thành nhiệm </w:t>
            </w:r>
            <w:r>
              <w:rPr>
                <w:rFonts w:ascii="Times New Roman" w:eastAsia="Times New Roman" w:hAnsi="Times New Roman" w:cs="Times New Roman"/>
                <w:sz w:val="26"/>
              </w:rPr>
              <w:t xml:space="preserve">vụ của đơn vị quản lý TNXP; Giấy chuyển thương, chuyển viện, phiếu sức khỏe; Giấy khen trong thời gian tham gia lực lượng TNXP; Giấy chứng nhận tham gia TNXP; Giấy điều động công tác, bổ nhiệm, giao nhiệm vụ. + Trường hợp TNXP không còn một trong các giấy </w:t>
            </w:r>
            <w:r>
              <w:rPr>
                <w:rFonts w:ascii="Times New Roman" w:eastAsia="Times New Roman" w:hAnsi="Times New Roman" w:cs="Times New Roman"/>
                <w:sz w:val="26"/>
              </w:rPr>
              <w:t>tờ trên thì phải nộp bản khai có chứng thực của Ủy ban nhân dân cấp xã nơi đăng ký hộ khẩu thường trú trước khi tham gia TNXP (bản chính), Ủy ban nhân dân cấp xã có trách nhiệm xác nhận bản khai đối với đối tượng là người địa phương đi TNXP nhưng hiện đang</w:t>
            </w:r>
            <w:r>
              <w:rPr>
                <w:rFonts w:ascii="Times New Roman" w:eastAsia="Times New Roman" w:hAnsi="Times New Roman" w:cs="Times New Roman"/>
                <w:sz w:val="26"/>
              </w:rPr>
              <w:t xml:space="preserve"> đăng ký hộ khẩu thường trú ở địa phương khác (nội dung xác nhận theo Mẫu số 08 tại Phụ lục ban hành kèm theo Thông tư 08/2023/TT-BLĐTBXH).</w:t>
            </w:r>
          </w:p>
        </w:tc>
        <w:tc>
          <w:tcPr>
            <w:tcW w:w="0" w:type="auto"/>
          </w:tcPr>
          <w:p w:rsidR="00262503" w:rsidRDefault="00262503"/>
        </w:tc>
        <w:tc>
          <w:tcPr>
            <w:tcW w:w="0" w:type="auto"/>
          </w:tcPr>
          <w:p w:rsidR="00262503" w:rsidRDefault="00262503"/>
          <w:p w:rsidR="00262503" w:rsidRDefault="00DF4561">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r>
            <w:r>
              <w:rPr>
                <w:rFonts w:ascii="Times New Roman" w:eastAsia="Times New Roman" w:hAnsi="Times New Roman" w:cs="Times New Roman"/>
                <w:sz w:val="26"/>
              </w:rPr>
              <w:lastRenderedPageBreak/>
              <w:t>Bản sao: 0</w:t>
            </w:r>
          </w:p>
        </w:tc>
      </w:tr>
      <w:tr w:rsidR="00262503">
        <w:tblPrEx>
          <w:tblCellMar>
            <w:top w:w="0" w:type="dxa"/>
            <w:bottom w:w="0" w:type="dxa"/>
          </w:tblCellMar>
        </w:tblPrEx>
        <w:tc>
          <w:tcPr>
            <w:tcW w:w="0" w:type="auto"/>
          </w:tcPr>
          <w:p w:rsidR="00262503" w:rsidRDefault="00262503"/>
          <w:p w:rsidR="00262503" w:rsidRDefault="00DF4561">
            <w:pPr>
              <w:spacing w:after="0" w:line="276" w:lineRule="auto"/>
            </w:pPr>
            <w:r>
              <w:rPr>
                <w:rFonts w:ascii="Times New Roman" w:eastAsia="Times New Roman" w:hAnsi="Times New Roman" w:cs="Times New Roman"/>
                <w:sz w:val="26"/>
              </w:rPr>
              <w:t>- Bản khai cá nhân:  Trường hợp TNXP còn sống thì lập theo Mẫu số 05 tại Phụ lục ban hàn</w:t>
            </w:r>
            <w:r>
              <w:rPr>
                <w:rFonts w:ascii="Times New Roman" w:eastAsia="Times New Roman" w:hAnsi="Times New Roman" w:cs="Times New Roman"/>
                <w:sz w:val="26"/>
              </w:rPr>
              <w:t>h kèm theo Thông tư 08/2023/TT-BLĐTBXH. Trường hợp TNXP đã từ trần thì thân nhân TNXP lập theo Mẫu số 06 tại Phụ lục ban hành kèm theo Thông tư 08/2023/TT-BLĐTBXH.</w:t>
            </w:r>
          </w:p>
        </w:tc>
        <w:tc>
          <w:tcPr>
            <w:tcW w:w="0" w:type="auto"/>
          </w:tcPr>
          <w:p w:rsidR="00262503" w:rsidRDefault="00262503"/>
          <w:p w:rsidR="00262503" w:rsidRDefault="00DF4561">
            <w:pPr>
              <w:spacing w:after="0" w:line="276" w:lineRule="auto"/>
            </w:pPr>
            <w:r>
              <w:rPr>
                <w:rFonts w:ascii="Times New Roman" w:eastAsia="Times New Roman" w:hAnsi="Times New Roman" w:cs="Times New Roman"/>
                <w:sz w:val="26"/>
              </w:rPr>
              <w:t>Mau so 05.docx</w:t>
            </w:r>
          </w:p>
          <w:p w:rsidR="00262503" w:rsidRDefault="00DF4561">
            <w:pPr>
              <w:spacing w:after="0" w:line="276" w:lineRule="auto"/>
            </w:pPr>
            <w:r>
              <w:rPr>
                <w:rFonts w:ascii="Times New Roman" w:eastAsia="Times New Roman" w:hAnsi="Times New Roman" w:cs="Times New Roman"/>
                <w:sz w:val="26"/>
              </w:rPr>
              <w:t>Mau so 07.docx</w:t>
            </w:r>
          </w:p>
        </w:tc>
        <w:tc>
          <w:tcPr>
            <w:tcW w:w="0" w:type="auto"/>
          </w:tcPr>
          <w:p w:rsidR="00262503" w:rsidRDefault="00262503"/>
          <w:p w:rsidR="00262503" w:rsidRDefault="00DF4561">
            <w:pPr>
              <w:spacing w:after="0" w:line="276" w:lineRule="auto"/>
            </w:pPr>
            <w:r>
              <w:rPr>
                <w:rFonts w:ascii="Times New Roman" w:eastAsia="Times New Roman" w:hAnsi="Times New Roman" w:cs="Times New Roman"/>
                <w:sz w:val="26"/>
              </w:rPr>
              <w:t>Bản chính: 1</w:t>
            </w:r>
            <w:r>
              <w:rPr>
                <w:rFonts w:ascii="Times New Roman" w:eastAsia="Times New Roman" w:hAnsi="Times New Roman" w:cs="Times New Roman"/>
                <w:sz w:val="26"/>
              </w:rPr>
              <w:br/>
              <w:t>Bản sao: 0</w:t>
            </w:r>
          </w:p>
        </w:tc>
      </w:tr>
    </w:tbl>
    <w:p w:rsidR="00262503" w:rsidRDefault="00DF4561">
      <w:pPr>
        <w:spacing w:before="240" w:after="0" w:line="276" w:lineRule="auto"/>
        <w:jc w:val="both"/>
      </w:pPr>
      <w:r>
        <w:rPr>
          <w:rFonts w:ascii="Times New Roman" w:eastAsia="Times New Roman" w:hAnsi="Times New Roman" w:cs="Times New Roman"/>
          <w:b/>
          <w:sz w:val="26"/>
        </w:rPr>
        <w:t xml:space="preserve">Đối tượng thực hiện: </w:t>
      </w:r>
      <w:r>
        <w:rPr>
          <w:rFonts w:ascii="Times New Roman" w:eastAsia="Times New Roman" w:hAnsi="Times New Roman" w:cs="Times New Roman"/>
          <w:sz w:val="26"/>
        </w:rPr>
        <w:t xml:space="preserve">Công dân Việt </w:t>
      </w:r>
      <w:r>
        <w:rPr>
          <w:rFonts w:ascii="Times New Roman" w:eastAsia="Times New Roman" w:hAnsi="Times New Roman" w:cs="Times New Roman"/>
          <w:sz w:val="26"/>
        </w:rPr>
        <w:t>Nam</w:t>
      </w:r>
    </w:p>
    <w:p w:rsidR="00262503" w:rsidRDefault="00DF4561">
      <w:pPr>
        <w:spacing w:after="0" w:line="276" w:lineRule="auto"/>
        <w:jc w:val="both"/>
      </w:pPr>
      <w:r>
        <w:rPr>
          <w:rFonts w:ascii="Times New Roman" w:eastAsia="Times New Roman" w:hAnsi="Times New Roman" w:cs="Times New Roman"/>
          <w:b/>
          <w:sz w:val="26"/>
        </w:rPr>
        <w:t xml:space="preserve">Cơ quan thực hiện: </w:t>
      </w:r>
      <w:r>
        <w:rPr>
          <w:rFonts w:ascii="Times New Roman" w:eastAsia="Times New Roman" w:hAnsi="Times New Roman" w:cs="Times New Roman"/>
          <w:sz w:val="26"/>
        </w:rPr>
        <w:t>Sở Nội vụ, Sở Lao động-Thương binh và Xã hội, Ủy ban Nhân dân xã, phường, thị trấn., Chủ tịch ủy ban nhân dân cấp tỉnh</w:t>
      </w:r>
    </w:p>
    <w:p w:rsidR="00262503" w:rsidRDefault="00DF4561">
      <w:pPr>
        <w:spacing w:after="0" w:line="276" w:lineRule="auto"/>
        <w:jc w:val="both"/>
      </w:pPr>
      <w:r>
        <w:rPr>
          <w:rFonts w:ascii="Times New Roman" w:eastAsia="Times New Roman" w:hAnsi="Times New Roman" w:cs="Times New Roman"/>
          <w:b/>
          <w:sz w:val="26"/>
        </w:rPr>
        <w:t xml:space="preserve">Cơ quan có thẩm quyền: </w:t>
      </w:r>
      <w:r>
        <w:rPr>
          <w:rFonts w:ascii="Times New Roman" w:eastAsia="Times New Roman" w:hAnsi="Times New Roman" w:cs="Times New Roman"/>
          <w:sz w:val="26"/>
        </w:rPr>
        <w:t>Chủ tịch ủy ban nhân dân cấp tỉnh</w:t>
      </w:r>
    </w:p>
    <w:p w:rsidR="00262503" w:rsidRDefault="00DF4561">
      <w:pPr>
        <w:spacing w:after="0" w:line="276" w:lineRule="auto"/>
        <w:jc w:val="both"/>
      </w:pPr>
      <w:r>
        <w:rPr>
          <w:rFonts w:ascii="Times New Roman" w:eastAsia="Times New Roman" w:hAnsi="Times New Roman" w:cs="Times New Roman"/>
          <w:b/>
          <w:sz w:val="26"/>
        </w:rPr>
        <w:t xml:space="preserve">Địa chỉ tiếp nhận HS: </w:t>
      </w:r>
      <w:r>
        <w:rPr>
          <w:rFonts w:ascii="Times New Roman" w:eastAsia="Times New Roman" w:hAnsi="Times New Roman" w:cs="Times New Roman"/>
          <w:sz w:val="26"/>
        </w:rPr>
        <w:t xml:space="preserve">Ủy ban nhân dân cấp xã nơi đăng ký </w:t>
      </w:r>
      <w:r>
        <w:rPr>
          <w:rFonts w:ascii="Times New Roman" w:eastAsia="Times New Roman" w:hAnsi="Times New Roman" w:cs="Times New Roman"/>
          <w:sz w:val="26"/>
        </w:rPr>
        <w:t>hộ khẩu thường trú</w:t>
      </w:r>
    </w:p>
    <w:p w:rsidR="00262503" w:rsidRDefault="00DF4561">
      <w:pPr>
        <w:spacing w:after="0" w:line="276" w:lineRule="auto"/>
        <w:jc w:val="both"/>
      </w:pPr>
      <w:r>
        <w:rPr>
          <w:rFonts w:ascii="Times New Roman" w:eastAsia="Times New Roman" w:hAnsi="Times New Roman" w:cs="Times New Roman"/>
          <w:b/>
          <w:sz w:val="26"/>
        </w:rPr>
        <w:t xml:space="preserve">Cơ quan được ủy quyền: </w:t>
      </w:r>
      <w:r>
        <w:rPr>
          <w:rFonts w:ascii="Times New Roman" w:eastAsia="Times New Roman" w:hAnsi="Times New Roman" w:cs="Times New Roman"/>
          <w:sz w:val="26"/>
        </w:rPr>
        <w:t>Không có thông tin</w:t>
      </w:r>
    </w:p>
    <w:p w:rsidR="00262503" w:rsidRDefault="00DF4561">
      <w:pPr>
        <w:spacing w:after="0" w:line="276" w:lineRule="auto"/>
        <w:jc w:val="both"/>
      </w:pPr>
      <w:r>
        <w:rPr>
          <w:rFonts w:ascii="Times New Roman" w:eastAsia="Times New Roman" w:hAnsi="Times New Roman" w:cs="Times New Roman"/>
          <w:b/>
          <w:sz w:val="26"/>
        </w:rPr>
        <w:t xml:space="preserve">Cơ quan phối hợp: </w:t>
      </w:r>
      <w:r>
        <w:rPr>
          <w:rFonts w:ascii="Times New Roman" w:eastAsia="Times New Roman" w:hAnsi="Times New Roman" w:cs="Times New Roman"/>
          <w:sz w:val="26"/>
        </w:rPr>
        <w:t>Không có thông tin</w:t>
      </w:r>
    </w:p>
    <w:p w:rsidR="00262503" w:rsidRDefault="00DF4561">
      <w:pPr>
        <w:spacing w:after="0" w:line="276" w:lineRule="auto"/>
        <w:jc w:val="both"/>
      </w:pPr>
      <w:r>
        <w:rPr>
          <w:rFonts w:ascii="Times New Roman" w:eastAsia="Times New Roman" w:hAnsi="Times New Roman" w:cs="Times New Roman"/>
          <w:b/>
          <w:sz w:val="26"/>
        </w:rPr>
        <w:t xml:space="preserve">Kết quả thực hiện: </w:t>
      </w:r>
      <w:r>
        <w:rPr>
          <w:rFonts w:ascii="Times New Roman" w:eastAsia="Times New Roman" w:hAnsi="Times New Roman" w:cs="Times New Roman"/>
          <w:sz w:val="26"/>
        </w:rPr>
        <w:t>Quyết định về việc giải quyết chế độ trợ cấp một lần đối với thanh niên xung phong/Quyết định về việc giải quyết chế độ trợ cấp một lần đối</w:t>
      </w:r>
      <w:r>
        <w:rPr>
          <w:rFonts w:ascii="Times New Roman" w:eastAsia="Times New Roman" w:hAnsi="Times New Roman" w:cs="Times New Roman"/>
          <w:sz w:val="26"/>
        </w:rPr>
        <w:t xml:space="preserve"> với thanh niên xung phong đã từ trần.</w:t>
      </w:r>
    </w:p>
    <w:p w:rsidR="00262503" w:rsidRDefault="00DF4561">
      <w:pPr>
        <w:spacing w:after="0" w:line="276" w:lineRule="auto"/>
        <w:jc w:val="both"/>
      </w:pPr>
      <w:r>
        <w:rPr>
          <w:rFonts w:ascii="Times New Roman" w:eastAsia="Times New Roman" w:hAnsi="Times New Roman" w:cs="Times New Roman"/>
          <w:b/>
          <w:sz w:val="26"/>
        </w:rPr>
        <w:t xml:space="preserve">Căn cứ pháp lý: </w:t>
      </w:r>
    </w:p>
    <w:tbl>
      <w:tblPr>
        <w:tblW w:w="0" w:type="auto"/>
        <w:tblInd w:w="10" w:type="dxa"/>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CellMar>
          <w:left w:w="10" w:type="dxa"/>
          <w:right w:w="10" w:type="dxa"/>
        </w:tblCellMar>
        <w:tblLook w:val="0000" w:firstRow="0" w:lastRow="0" w:firstColumn="0" w:lastColumn="0" w:noHBand="0" w:noVBand="0"/>
      </w:tblPr>
      <w:tblGrid>
        <w:gridCol w:w="2464"/>
        <w:gridCol w:w="5109"/>
        <w:gridCol w:w="685"/>
        <w:gridCol w:w="1153"/>
      </w:tblGrid>
      <w:tr w:rsidR="00262503">
        <w:tblPrEx>
          <w:tblCellMar>
            <w:top w:w="0" w:type="dxa"/>
            <w:bottom w:w="0" w:type="dxa"/>
          </w:tblCellMar>
        </w:tblPrEx>
        <w:tc>
          <w:tcPr>
            <w:tcW w:w="2000" w:type="dxa"/>
          </w:tcPr>
          <w:p w:rsidR="00262503" w:rsidRDefault="00262503"/>
          <w:p w:rsidR="00262503" w:rsidRDefault="00DF4561">
            <w:pPr>
              <w:spacing w:after="0" w:line="276" w:lineRule="auto"/>
              <w:jc w:val="center"/>
            </w:pPr>
            <w:r>
              <w:rPr>
                <w:rFonts w:ascii="Times New Roman" w:eastAsia="Times New Roman" w:hAnsi="Times New Roman" w:cs="Times New Roman"/>
                <w:b/>
                <w:sz w:val="26"/>
              </w:rPr>
              <w:t>Số ký hiệu</w:t>
            </w:r>
          </w:p>
        </w:tc>
        <w:tc>
          <w:tcPr>
            <w:tcW w:w="3500" w:type="dxa"/>
          </w:tcPr>
          <w:p w:rsidR="00262503" w:rsidRDefault="00262503"/>
          <w:p w:rsidR="00262503" w:rsidRDefault="00DF4561">
            <w:pPr>
              <w:spacing w:after="0" w:line="276" w:lineRule="auto"/>
              <w:jc w:val="center"/>
            </w:pPr>
            <w:r>
              <w:rPr>
                <w:rFonts w:ascii="Times New Roman" w:eastAsia="Times New Roman" w:hAnsi="Times New Roman" w:cs="Times New Roman"/>
                <w:b/>
                <w:sz w:val="26"/>
              </w:rPr>
              <w:t>Trích yếu</w:t>
            </w:r>
          </w:p>
        </w:tc>
        <w:tc>
          <w:tcPr>
            <w:tcW w:w="1500" w:type="dxa"/>
          </w:tcPr>
          <w:p w:rsidR="00262503" w:rsidRDefault="00262503"/>
          <w:p w:rsidR="00262503" w:rsidRDefault="00DF4561">
            <w:pPr>
              <w:spacing w:after="0" w:line="276" w:lineRule="auto"/>
              <w:jc w:val="center"/>
            </w:pPr>
            <w:r>
              <w:rPr>
                <w:rFonts w:ascii="Times New Roman" w:eastAsia="Times New Roman" w:hAnsi="Times New Roman" w:cs="Times New Roman"/>
                <w:b/>
                <w:sz w:val="26"/>
              </w:rPr>
              <w:t>Ngày ban hành</w:t>
            </w:r>
          </w:p>
        </w:tc>
        <w:tc>
          <w:tcPr>
            <w:tcW w:w="3000" w:type="dxa"/>
          </w:tcPr>
          <w:p w:rsidR="00262503" w:rsidRDefault="00262503"/>
          <w:p w:rsidR="00262503" w:rsidRDefault="00DF4561">
            <w:pPr>
              <w:spacing w:after="0" w:line="276" w:lineRule="auto"/>
              <w:jc w:val="center"/>
            </w:pPr>
            <w:r>
              <w:rPr>
                <w:rFonts w:ascii="Times New Roman" w:eastAsia="Times New Roman" w:hAnsi="Times New Roman" w:cs="Times New Roman"/>
                <w:b/>
                <w:sz w:val="26"/>
              </w:rPr>
              <w:t>Cơ quan ban hành</w:t>
            </w:r>
          </w:p>
        </w:tc>
      </w:tr>
      <w:tr w:rsidR="00262503">
        <w:tblPrEx>
          <w:tblCellMar>
            <w:top w:w="0" w:type="dxa"/>
            <w:bottom w:w="0" w:type="dxa"/>
          </w:tblCellMar>
        </w:tblPrEx>
        <w:tc>
          <w:tcPr>
            <w:tcW w:w="0" w:type="auto"/>
          </w:tcPr>
          <w:p w:rsidR="00262503" w:rsidRDefault="00262503"/>
          <w:p w:rsidR="00262503" w:rsidRDefault="00DF4561">
            <w:pPr>
              <w:spacing w:after="0" w:line="276" w:lineRule="auto"/>
            </w:pPr>
            <w:r>
              <w:rPr>
                <w:rFonts w:ascii="Times New Roman" w:eastAsia="Times New Roman" w:hAnsi="Times New Roman" w:cs="Times New Roman"/>
                <w:sz w:val="26"/>
              </w:rPr>
              <w:t>04/2012/UBTVQH13</w:t>
            </w:r>
          </w:p>
        </w:tc>
        <w:tc>
          <w:tcPr>
            <w:tcW w:w="0" w:type="auto"/>
          </w:tcPr>
          <w:p w:rsidR="00262503" w:rsidRDefault="00262503"/>
          <w:p w:rsidR="00262503" w:rsidRDefault="00DF4561">
            <w:pPr>
              <w:spacing w:after="0" w:line="276" w:lineRule="auto"/>
            </w:pPr>
            <w:r>
              <w:rPr>
                <w:rFonts w:ascii="Times New Roman" w:eastAsia="Times New Roman" w:hAnsi="Times New Roman" w:cs="Times New Roman"/>
                <w:sz w:val="26"/>
              </w:rPr>
              <w:t xml:space="preserve">Pháp lệnh 04/2012/UBTVQH13 - Sửa đổi, bổ sung một số điều của Pháp lệnh ưu đãi người có </w:t>
            </w:r>
            <w:r>
              <w:rPr>
                <w:rFonts w:ascii="Times New Roman" w:eastAsia="Times New Roman" w:hAnsi="Times New Roman" w:cs="Times New Roman"/>
                <w:sz w:val="26"/>
              </w:rPr>
              <w:lastRenderedPageBreak/>
              <w:t>công với cách mạng</w:t>
            </w:r>
          </w:p>
        </w:tc>
        <w:tc>
          <w:tcPr>
            <w:tcW w:w="0" w:type="auto"/>
          </w:tcPr>
          <w:p w:rsidR="00262503" w:rsidRDefault="00262503"/>
          <w:p w:rsidR="00262503" w:rsidRDefault="00DF4561">
            <w:pPr>
              <w:spacing w:after="0" w:line="276" w:lineRule="auto"/>
            </w:pPr>
            <w:r>
              <w:rPr>
                <w:rFonts w:ascii="Times New Roman" w:eastAsia="Times New Roman" w:hAnsi="Times New Roman" w:cs="Times New Roman"/>
                <w:sz w:val="26"/>
              </w:rPr>
              <w:t>16-07-</w:t>
            </w:r>
            <w:r>
              <w:rPr>
                <w:rFonts w:ascii="Times New Roman" w:eastAsia="Times New Roman" w:hAnsi="Times New Roman" w:cs="Times New Roman"/>
                <w:sz w:val="26"/>
              </w:rPr>
              <w:lastRenderedPageBreak/>
              <w:t>2012</w:t>
            </w:r>
          </w:p>
        </w:tc>
        <w:tc>
          <w:tcPr>
            <w:tcW w:w="0" w:type="auto"/>
          </w:tcPr>
          <w:p w:rsidR="00262503" w:rsidRDefault="00262503"/>
          <w:p w:rsidR="00262503" w:rsidRDefault="00DF4561">
            <w:pPr>
              <w:spacing w:after="0" w:line="276" w:lineRule="auto"/>
            </w:pPr>
            <w:r>
              <w:rPr>
                <w:rFonts w:ascii="Times New Roman" w:eastAsia="Times New Roman" w:hAnsi="Times New Roman" w:cs="Times New Roman"/>
                <w:sz w:val="26"/>
              </w:rPr>
              <w:t xml:space="preserve">Ủy </w:t>
            </w:r>
            <w:r>
              <w:rPr>
                <w:rFonts w:ascii="Times New Roman" w:eastAsia="Times New Roman" w:hAnsi="Times New Roman" w:cs="Times New Roman"/>
                <w:sz w:val="26"/>
              </w:rPr>
              <w:t xml:space="preserve">ban thường vụ </w:t>
            </w:r>
            <w:r>
              <w:rPr>
                <w:rFonts w:ascii="Times New Roman" w:eastAsia="Times New Roman" w:hAnsi="Times New Roman" w:cs="Times New Roman"/>
                <w:sz w:val="26"/>
              </w:rPr>
              <w:lastRenderedPageBreak/>
              <w:t>quốc hội</w:t>
            </w:r>
          </w:p>
        </w:tc>
      </w:tr>
      <w:tr w:rsidR="00262503">
        <w:tblPrEx>
          <w:tblCellMar>
            <w:top w:w="0" w:type="dxa"/>
            <w:bottom w:w="0" w:type="dxa"/>
          </w:tblCellMar>
        </w:tblPrEx>
        <w:tc>
          <w:tcPr>
            <w:tcW w:w="0" w:type="auto"/>
          </w:tcPr>
          <w:p w:rsidR="00262503" w:rsidRDefault="00262503"/>
          <w:p w:rsidR="00262503" w:rsidRDefault="00DF4561">
            <w:pPr>
              <w:spacing w:after="0" w:line="276" w:lineRule="auto"/>
            </w:pPr>
            <w:r>
              <w:rPr>
                <w:rFonts w:ascii="Times New Roman" w:eastAsia="Times New Roman" w:hAnsi="Times New Roman" w:cs="Times New Roman"/>
                <w:sz w:val="26"/>
              </w:rPr>
              <w:t>31/2013/NĐ-CP</w:t>
            </w:r>
          </w:p>
        </w:tc>
        <w:tc>
          <w:tcPr>
            <w:tcW w:w="0" w:type="auto"/>
          </w:tcPr>
          <w:p w:rsidR="00262503" w:rsidRDefault="00262503"/>
          <w:p w:rsidR="00262503" w:rsidRDefault="00DF4561">
            <w:pPr>
              <w:spacing w:after="0" w:line="276" w:lineRule="auto"/>
            </w:pPr>
            <w:r>
              <w:rPr>
                <w:rFonts w:ascii="Times New Roman" w:eastAsia="Times New Roman" w:hAnsi="Times New Roman" w:cs="Times New Roman"/>
                <w:sz w:val="26"/>
              </w:rPr>
              <w:t>Nghị định 31/2013/NĐ-CP - Hướng dẫn Pháp lệnh ưu đãi người có công với cách mạng</w:t>
            </w:r>
          </w:p>
        </w:tc>
        <w:tc>
          <w:tcPr>
            <w:tcW w:w="0" w:type="auto"/>
          </w:tcPr>
          <w:p w:rsidR="00262503" w:rsidRDefault="00262503"/>
          <w:p w:rsidR="00262503" w:rsidRDefault="00DF4561">
            <w:pPr>
              <w:spacing w:after="0" w:line="276" w:lineRule="auto"/>
            </w:pPr>
            <w:r>
              <w:rPr>
                <w:rFonts w:ascii="Times New Roman" w:eastAsia="Times New Roman" w:hAnsi="Times New Roman" w:cs="Times New Roman"/>
                <w:sz w:val="26"/>
              </w:rPr>
              <w:t>09-04-2013</w:t>
            </w:r>
          </w:p>
        </w:tc>
        <w:tc>
          <w:tcPr>
            <w:tcW w:w="0" w:type="auto"/>
          </w:tcPr>
          <w:p w:rsidR="00262503" w:rsidRDefault="00262503"/>
          <w:p w:rsidR="00262503" w:rsidRDefault="00DF4561">
            <w:pPr>
              <w:spacing w:after="0" w:line="276" w:lineRule="auto"/>
            </w:pPr>
            <w:r>
              <w:rPr>
                <w:rFonts w:ascii="Times New Roman" w:eastAsia="Times New Roman" w:hAnsi="Times New Roman" w:cs="Times New Roman"/>
                <w:sz w:val="26"/>
              </w:rPr>
              <w:t>Chính phủ</w:t>
            </w:r>
          </w:p>
        </w:tc>
      </w:tr>
      <w:tr w:rsidR="00262503">
        <w:tblPrEx>
          <w:tblCellMar>
            <w:top w:w="0" w:type="dxa"/>
            <w:bottom w:w="0" w:type="dxa"/>
          </w:tblCellMar>
        </w:tblPrEx>
        <w:tc>
          <w:tcPr>
            <w:tcW w:w="0" w:type="auto"/>
          </w:tcPr>
          <w:p w:rsidR="00262503" w:rsidRDefault="00262503"/>
          <w:p w:rsidR="00262503" w:rsidRDefault="00DF4561">
            <w:pPr>
              <w:spacing w:after="0" w:line="276" w:lineRule="auto"/>
            </w:pPr>
            <w:r>
              <w:rPr>
                <w:rFonts w:ascii="Times New Roman" w:eastAsia="Times New Roman" w:hAnsi="Times New Roman" w:cs="Times New Roman"/>
                <w:sz w:val="26"/>
              </w:rPr>
              <w:t>40/2011/QĐ-TTg</w:t>
            </w:r>
          </w:p>
        </w:tc>
        <w:tc>
          <w:tcPr>
            <w:tcW w:w="0" w:type="auto"/>
          </w:tcPr>
          <w:p w:rsidR="00262503" w:rsidRDefault="00262503"/>
          <w:p w:rsidR="00262503" w:rsidRDefault="00DF4561">
            <w:pPr>
              <w:spacing w:after="0" w:line="276" w:lineRule="auto"/>
            </w:pPr>
            <w:r>
              <w:rPr>
                <w:rFonts w:ascii="Times New Roman" w:eastAsia="Times New Roman" w:hAnsi="Times New Roman" w:cs="Times New Roman"/>
                <w:sz w:val="26"/>
              </w:rPr>
              <w:t>Quyết định 40/2011/QĐ-TTg - Quy định về chế độ đối với thanh niên xung phong đã hoàn thành nhi</w:t>
            </w:r>
            <w:r>
              <w:rPr>
                <w:rFonts w:ascii="Times New Roman" w:eastAsia="Times New Roman" w:hAnsi="Times New Roman" w:cs="Times New Roman"/>
                <w:sz w:val="26"/>
              </w:rPr>
              <w:t>ệm vụ trong kháng chiến</w:t>
            </w:r>
          </w:p>
        </w:tc>
        <w:tc>
          <w:tcPr>
            <w:tcW w:w="0" w:type="auto"/>
          </w:tcPr>
          <w:p w:rsidR="00262503" w:rsidRDefault="00262503"/>
          <w:p w:rsidR="00262503" w:rsidRDefault="00DF4561">
            <w:pPr>
              <w:spacing w:after="0" w:line="276" w:lineRule="auto"/>
            </w:pPr>
            <w:r>
              <w:rPr>
                <w:rFonts w:ascii="Times New Roman" w:eastAsia="Times New Roman" w:hAnsi="Times New Roman" w:cs="Times New Roman"/>
                <w:sz w:val="26"/>
              </w:rPr>
              <w:t>27-07-2011</w:t>
            </w:r>
          </w:p>
        </w:tc>
        <w:tc>
          <w:tcPr>
            <w:tcW w:w="0" w:type="auto"/>
          </w:tcPr>
          <w:p w:rsidR="00262503" w:rsidRDefault="00262503"/>
          <w:p w:rsidR="00262503" w:rsidRDefault="00DF4561">
            <w:pPr>
              <w:spacing w:after="0" w:line="276" w:lineRule="auto"/>
            </w:pPr>
            <w:r>
              <w:rPr>
                <w:rFonts w:ascii="Times New Roman" w:eastAsia="Times New Roman" w:hAnsi="Times New Roman" w:cs="Times New Roman"/>
                <w:sz w:val="26"/>
              </w:rPr>
              <w:t>Thủ tướng Chính phủ</w:t>
            </w:r>
          </w:p>
        </w:tc>
      </w:tr>
      <w:tr w:rsidR="00262503">
        <w:tblPrEx>
          <w:tblCellMar>
            <w:top w:w="0" w:type="dxa"/>
            <w:bottom w:w="0" w:type="dxa"/>
          </w:tblCellMar>
        </w:tblPrEx>
        <w:tc>
          <w:tcPr>
            <w:tcW w:w="0" w:type="auto"/>
          </w:tcPr>
          <w:p w:rsidR="00262503" w:rsidRDefault="00262503"/>
          <w:p w:rsidR="00262503" w:rsidRDefault="00DF4561">
            <w:pPr>
              <w:spacing w:after="0" w:line="276" w:lineRule="auto"/>
            </w:pPr>
            <w:r>
              <w:rPr>
                <w:rFonts w:ascii="Times New Roman" w:eastAsia="Times New Roman" w:hAnsi="Times New Roman" w:cs="Times New Roman"/>
                <w:sz w:val="26"/>
              </w:rPr>
              <w:t>08/2012/TTLT-BLĐTBXH-BNV-BTC</w:t>
            </w:r>
          </w:p>
        </w:tc>
        <w:tc>
          <w:tcPr>
            <w:tcW w:w="0" w:type="auto"/>
          </w:tcPr>
          <w:p w:rsidR="00262503" w:rsidRDefault="00262503"/>
          <w:p w:rsidR="00262503" w:rsidRDefault="00DF4561">
            <w:pPr>
              <w:spacing w:after="0" w:line="276" w:lineRule="auto"/>
            </w:pPr>
            <w:r>
              <w:rPr>
                <w:rFonts w:ascii="Times New Roman" w:eastAsia="Times New Roman" w:hAnsi="Times New Roman" w:cs="Times New Roman"/>
                <w:sz w:val="26"/>
              </w:rPr>
              <w:t xml:space="preserve">Thông tư liên tịch 08/2012/TTLT-BLĐTBXH-BNV-BTC - Hướng dẫn thực hiện chế độ trợ cấp đối với thanh niên xung phong đã hoàn thành nhiệm vụ trong kháng chiến theo Quyết </w:t>
            </w:r>
            <w:r>
              <w:rPr>
                <w:rFonts w:ascii="Times New Roman" w:eastAsia="Times New Roman" w:hAnsi="Times New Roman" w:cs="Times New Roman"/>
                <w:sz w:val="26"/>
              </w:rPr>
              <w:t>định số 40/2011/QĐ-TTg ngày 27 tháng 7 năm 2011 của Thủ tướng Chính phủ</w:t>
            </w:r>
          </w:p>
        </w:tc>
        <w:tc>
          <w:tcPr>
            <w:tcW w:w="0" w:type="auto"/>
          </w:tcPr>
          <w:p w:rsidR="00262503" w:rsidRDefault="00262503"/>
          <w:p w:rsidR="00262503" w:rsidRDefault="00DF4561">
            <w:pPr>
              <w:spacing w:after="0" w:line="276" w:lineRule="auto"/>
            </w:pPr>
            <w:r>
              <w:rPr>
                <w:rFonts w:ascii="Times New Roman" w:eastAsia="Times New Roman" w:hAnsi="Times New Roman" w:cs="Times New Roman"/>
                <w:sz w:val="26"/>
              </w:rPr>
              <w:t>16-04-2012</w:t>
            </w:r>
          </w:p>
        </w:tc>
        <w:tc>
          <w:tcPr>
            <w:tcW w:w="0" w:type="auto"/>
          </w:tcPr>
          <w:p w:rsidR="00262503" w:rsidRDefault="00262503"/>
          <w:p w:rsidR="00262503" w:rsidRDefault="00DF4561">
            <w:pPr>
              <w:spacing w:after="0" w:line="276" w:lineRule="auto"/>
            </w:pPr>
            <w:r>
              <w:rPr>
                <w:rFonts w:ascii="Times New Roman" w:eastAsia="Times New Roman" w:hAnsi="Times New Roman" w:cs="Times New Roman"/>
                <w:sz w:val="26"/>
              </w:rPr>
              <w:t>Bộ Lao động - Thương binh và Xã hội</w:t>
            </w:r>
          </w:p>
        </w:tc>
      </w:tr>
      <w:tr w:rsidR="00262503">
        <w:tblPrEx>
          <w:tblCellMar>
            <w:top w:w="0" w:type="dxa"/>
            <w:bottom w:w="0" w:type="dxa"/>
          </w:tblCellMar>
        </w:tblPrEx>
        <w:tc>
          <w:tcPr>
            <w:tcW w:w="0" w:type="auto"/>
          </w:tcPr>
          <w:p w:rsidR="00262503" w:rsidRDefault="00262503"/>
          <w:p w:rsidR="00262503" w:rsidRDefault="00DF4561">
            <w:pPr>
              <w:spacing w:after="0" w:line="276" w:lineRule="auto"/>
            </w:pPr>
            <w:r>
              <w:rPr>
                <w:rFonts w:ascii="Times New Roman" w:eastAsia="Times New Roman" w:hAnsi="Times New Roman" w:cs="Times New Roman"/>
                <w:sz w:val="26"/>
              </w:rPr>
              <w:t>08/2023/TT-BLĐTBXH</w:t>
            </w:r>
          </w:p>
        </w:tc>
        <w:tc>
          <w:tcPr>
            <w:tcW w:w="0" w:type="auto"/>
          </w:tcPr>
          <w:p w:rsidR="00262503" w:rsidRDefault="00262503"/>
          <w:p w:rsidR="00262503" w:rsidRDefault="00DF4561">
            <w:pPr>
              <w:spacing w:after="0" w:line="276" w:lineRule="auto"/>
            </w:pPr>
            <w:r>
              <w:rPr>
                <w:rFonts w:ascii="Times New Roman" w:eastAsia="Times New Roman" w:hAnsi="Times New Roman" w:cs="Times New Roman"/>
                <w:sz w:val="26"/>
              </w:rPr>
              <w:t>Sửa đổi, bổ sung, bãi bỏ một số điều của các Thông tư, Thông tư liên tịch có quy định liên quan đến việc nộp, xuấ</w:t>
            </w:r>
            <w:r>
              <w:rPr>
                <w:rFonts w:ascii="Times New Roman" w:eastAsia="Times New Roman" w:hAnsi="Times New Roman" w:cs="Times New Roman"/>
                <w:sz w:val="26"/>
              </w:rPr>
              <w:t>t trình sổ hộ khẩu giấy, sổ tạm trú giấy hoặc giấy tờ có yêu cầu xác nhận nơi cư trú khi thực hiện thủ tục hành chính thuộc lĩnh vực quản lý nhà nước của Bộ Lao động - Thương binh và Xã hội.</w:t>
            </w:r>
          </w:p>
        </w:tc>
        <w:tc>
          <w:tcPr>
            <w:tcW w:w="0" w:type="auto"/>
          </w:tcPr>
          <w:p w:rsidR="00262503" w:rsidRDefault="00262503"/>
          <w:p w:rsidR="00262503" w:rsidRDefault="00DF4561">
            <w:pPr>
              <w:spacing w:after="0" w:line="276" w:lineRule="auto"/>
            </w:pPr>
            <w:r>
              <w:rPr>
                <w:rFonts w:ascii="Times New Roman" w:eastAsia="Times New Roman" w:hAnsi="Times New Roman" w:cs="Times New Roman"/>
                <w:sz w:val="26"/>
              </w:rPr>
              <w:t>29-08-2023</w:t>
            </w:r>
          </w:p>
        </w:tc>
        <w:tc>
          <w:tcPr>
            <w:tcW w:w="0" w:type="auto"/>
          </w:tcPr>
          <w:p w:rsidR="00262503" w:rsidRDefault="00262503"/>
          <w:p w:rsidR="00262503" w:rsidRDefault="00DF4561">
            <w:pPr>
              <w:spacing w:after="0" w:line="276" w:lineRule="auto"/>
            </w:pPr>
            <w:r>
              <w:rPr>
                <w:rFonts w:ascii="Times New Roman" w:eastAsia="Times New Roman" w:hAnsi="Times New Roman" w:cs="Times New Roman"/>
                <w:sz w:val="26"/>
              </w:rPr>
              <w:t>Bộ Lao động - Thương binh và Xã hội</w:t>
            </w:r>
          </w:p>
        </w:tc>
      </w:tr>
    </w:tbl>
    <w:p w:rsidR="00262503" w:rsidRDefault="00DF4561">
      <w:pPr>
        <w:spacing w:before="240" w:after="0" w:line="276" w:lineRule="auto"/>
        <w:jc w:val="both"/>
      </w:pPr>
      <w:r>
        <w:rPr>
          <w:rFonts w:ascii="Times New Roman" w:eastAsia="Times New Roman" w:hAnsi="Times New Roman" w:cs="Times New Roman"/>
          <w:b/>
          <w:sz w:val="26"/>
        </w:rPr>
        <w:t xml:space="preserve">Yêu cầu, điều kiện thực hiện: </w:t>
      </w:r>
      <w:r>
        <w:rPr>
          <w:rFonts w:ascii="Times New Roman" w:eastAsia="Times New Roman" w:hAnsi="Times New Roman" w:cs="Times New Roman"/>
          <w:sz w:val="26"/>
        </w:rPr>
        <w:t>Không</w:t>
      </w:r>
    </w:p>
    <w:p w:rsidR="00262503" w:rsidRDefault="00DF4561">
      <w:pPr>
        <w:spacing w:after="0" w:line="276" w:lineRule="auto"/>
        <w:jc w:val="both"/>
      </w:pPr>
      <w:r>
        <w:rPr>
          <w:rFonts w:ascii="Times New Roman" w:eastAsia="Times New Roman" w:hAnsi="Times New Roman" w:cs="Times New Roman"/>
          <w:b/>
          <w:sz w:val="26"/>
        </w:rPr>
        <w:t xml:space="preserve">Từ khóa: </w:t>
      </w:r>
      <w:r>
        <w:rPr>
          <w:rFonts w:ascii="Times New Roman" w:eastAsia="Times New Roman" w:hAnsi="Times New Roman" w:cs="Times New Roman"/>
          <w:sz w:val="26"/>
        </w:rPr>
        <w:t>Không có thông tin</w:t>
      </w:r>
    </w:p>
    <w:p w:rsidR="00262503" w:rsidRDefault="00DF4561">
      <w:pPr>
        <w:spacing w:after="0" w:line="276" w:lineRule="auto"/>
        <w:jc w:val="both"/>
      </w:pPr>
      <w:r>
        <w:rPr>
          <w:rFonts w:ascii="Times New Roman" w:eastAsia="Times New Roman" w:hAnsi="Times New Roman" w:cs="Times New Roman"/>
          <w:b/>
          <w:sz w:val="26"/>
        </w:rPr>
        <w:t xml:space="preserve">Mô tả: </w:t>
      </w:r>
      <w:r>
        <w:rPr>
          <w:rFonts w:ascii="Times New Roman" w:eastAsia="Times New Roman" w:hAnsi="Times New Roman" w:cs="Times New Roman"/>
          <w:sz w:val="26"/>
        </w:rPr>
        <w:t>Không có thông tin</w:t>
      </w:r>
    </w:p>
    <w:sectPr w:rsidR="00262503">
      <w:pgSz w:w="12240" w:h="15840"/>
      <w:pgMar w:top="1137" w:right="1137" w:bottom="1137" w:left="170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503"/>
    <w:rsid w:val="00262503"/>
    <w:rsid w:val="00DF45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F1655AA-1173-4B09-9A60-C88D1A6416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1080</Words>
  <Characters>6157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Apache POI</dc:creator>
  <cp:lastModifiedBy>MT-PC</cp:lastModifiedBy>
  <cp:revision>2</cp:revision>
  <dcterms:created xsi:type="dcterms:W3CDTF">2024-08-20T07:09:00Z</dcterms:created>
  <dcterms:modified xsi:type="dcterms:W3CDTF">2024-08-20T07:09:00Z</dcterms:modified>
</cp:coreProperties>
</file>