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C7D" w:rsidRDefault="0028037C">
      <w:pPr>
        <w:spacing w:after="300" w:line="276" w:lineRule="auto"/>
        <w:jc w:val="center"/>
      </w:pPr>
      <w:r>
        <w:rPr>
          <w:rFonts w:ascii="Times New Roman" w:eastAsia="Times New Roman" w:hAnsi="Times New Roman" w:cs="Times New Roman"/>
          <w:b/>
          <w:sz w:val="26"/>
        </w:rPr>
        <w:t>Chi tiết thủ tục hành chính</w:t>
      </w:r>
    </w:p>
    <w:p w:rsidR="00FF2C7D" w:rsidRDefault="0028037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2.000744</w:t>
      </w:r>
    </w:p>
    <w:p w:rsidR="00FF2C7D" w:rsidRDefault="0028037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635/QĐ-LĐTBXH</w:t>
      </w:r>
    </w:p>
    <w:p w:rsidR="00FF2C7D" w:rsidRDefault="0028037C">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Trợ giúp xã hội khẩn cấp về hỗ trợ chi phí mai táng</w:t>
      </w:r>
    </w:p>
    <w:bookmarkEnd w:id="0"/>
    <w:p w:rsidR="00FF2C7D" w:rsidRDefault="0028037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Huyện, Cấp Xã</w:t>
      </w:r>
    </w:p>
    <w:p w:rsidR="00FF2C7D" w:rsidRDefault="0028037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luật giao cho địa phương quy định hoặc </w:t>
      </w:r>
      <w:r>
        <w:rPr>
          <w:rFonts w:ascii="Times New Roman" w:eastAsia="Times New Roman" w:hAnsi="Times New Roman" w:cs="Times New Roman"/>
          <w:sz w:val="26"/>
        </w:rPr>
        <w:t>quy định chi tiết</w:t>
      </w:r>
    </w:p>
    <w:p w:rsidR="00FF2C7D" w:rsidRDefault="0028037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Bảo trợ xã hội</w:t>
      </w:r>
    </w:p>
    <w:p w:rsidR="00FF2C7D" w:rsidRDefault="0028037C">
      <w:pPr>
        <w:spacing w:after="0" w:line="276" w:lineRule="auto"/>
        <w:jc w:val="both"/>
      </w:pPr>
      <w:r>
        <w:rPr>
          <w:rFonts w:ascii="Times New Roman" w:eastAsia="Times New Roman" w:hAnsi="Times New Roman" w:cs="Times New Roman"/>
          <w:b/>
          <w:sz w:val="26"/>
        </w:rPr>
        <w:t xml:space="preserve">Trình tự thực hiện: </w:t>
      </w:r>
    </w:p>
    <w:p w:rsidR="00FF2C7D" w:rsidRDefault="00FF2C7D">
      <w:pPr>
        <w:shd w:val="clear" w:color="auto" w:fill="F2F6F9"/>
        <w:spacing w:before="120" w:after="0" w:line="276" w:lineRule="auto"/>
        <w:jc w:val="both"/>
      </w:pPr>
    </w:p>
    <w:p w:rsidR="00FF2C7D" w:rsidRDefault="0028037C">
      <w:pPr>
        <w:spacing w:after="0" w:line="276" w:lineRule="auto"/>
        <w:jc w:val="both"/>
      </w:pPr>
      <w:r>
        <w:rPr>
          <w:rFonts w:ascii="Times New Roman" w:eastAsia="Times New Roman" w:hAnsi="Times New Roman" w:cs="Times New Roman"/>
          <w:sz w:val="26"/>
        </w:rPr>
        <w:t>- Bước 1: Cơ quan, tổ chức, gia đình hoặc cá nhân trực tiếp mai táng có Tờ khai đề nghị hỗ trợ chi phí mai táng (theo Mẫu số 04 ban hành kèm theo Nghị định số 20/2021/NĐ-CP) và giấy báo tử củ</w:t>
      </w:r>
      <w:r>
        <w:rPr>
          <w:rFonts w:ascii="Times New Roman" w:eastAsia="Times New Roman" w:hAnsi="Times New Roman" w:cs="Times New Roman"/>
          <w:sz w:val="26"/>
        </w:rPr>
        <w:t>a đối tượng hoặc xác nhận của công an cấp xã gửi Chủ tịch Ủy ban nhân dân cấp xã. - Bước 2: Trong thời hạn 03 ngày làm việc sau khi nhận được đề nghị của Chủ tịch Ủy ban nhân dân cấp xã, Chủ tịch Ủy ban nhân dân cấp huyện xem xét, quyết định.</w:t>
      </w:r>
    </w:p>
    <w:p w:rsidR="00FF2C7D" w:rsidRDefault="0028037C">
      <w:pPr>
        <w:spacing w:before="240" w:after="0" w:line="276" w:lineRule="auto"/>
        <w:jc w:val="both"/>
      </w:pPr>
      <w:r>
        <w:rPr>
          <w:rFonts w:ascii="Times New Roman" w:eastAsia="Times New Roman" w:hAnsi="Times New Roman" w:cs="Times New Roman"/>
          <w:b/>
          <w:sz w:val="26"/>
        </w:rPr>
        <w:t>Cách thức thự</w:t>
      </w:r>
      <w:r>
        <w:rPr>
          <w:rFonts w:ascii="Times New Roman" w:eastAsia="Times New Roman" w:hAnsi="Times New Roman" w:cs="Times New Roman"/>
          <w:b/>
          <w:sz w:val="26"/>
        </w:rPr>
        <w:t xml:space="preserve">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11"/>
        <w:gridCol w:w="1154"/>
        <w:gridCol w:w="1607"/>
        <w:gridCol w:w="5539"/>
      </w:tblGrid>
      <w:tr w:rsidR="00FF2C7D">
        <w:tblPrEx>
          <w:tblCellMar>
            <w:top w:w="0" w:type="dxa"/>
            <w:bottom w:w="0" w:type="dxa"/>
          </w:tblCellMar>
        </w:tblPrEx>
        <w:tc>
          <w:tcPr>
            <w:tcW w:w="1500" w:type="dxa"/>
          </w:tcPr>
          <w:p w:rsidR="00FF2C7D" w:rsidRDefault="00FF2C7D"/>
          <w:p w:rsidR="00FF2C7D" w:rsidRDefault="0028037C">
            <w:pPr>
              <w:spacing w:after="0" w:line="276" w:lineRule="auto"/>
              <w:jc w:val="center"/>
            </w:pPr>
            <w:r>
              <w:rPr>
                <w:rFonts w:ascii="Times New Roman" w:eastAsia="Times New Roman" w:hAnsi="Times New Roman" w:cs="Times New Roman"/>
                <w:b/>
                <w:sz w:val="26"/>
              </w:rPr>
              <w:t>Hình thức nộp</w:t>
            </w:r>
          </w:p>
        </w:tc>
        <w:tc>
          <w:tcPr>
            <w:tcW w:w="2000" w:type="dxa"/>
          </w:tcPr>
          <w:p w:rsidR="00FF2C7D" w:rsidRDefault="00FF2C7D"/>
          <w:p w:rsidR="00FF2C7D" w:rsidRDefault="0028037C">
            <w:pPr>
              <w:spacing w:after="0" w:line="276" w:lineRule="auto"/>
              <w:jc w:val="center"/>
            </w:pPr>
            <w:r>
              <w:rPr>
                <w:rFonts w:ascii="Times New Roman" w:eastAsia="Times New Roman" w:hAnsi="Times New Roman" w:cs="Times New Roman"/>
                <w:b/>
                <w:sz w:val="26"/>
              </w:rPr>
              <w:t>Thời hạn giải quyết</w:t>
            </w:r>
          </w:p>
        </w:tc>
        <w:tc>
          <w:tcPr>
            <w:tcW w:w="3500" w:type="dxa"/>
          </w:tcPr>
          <w:p w:rsidR="00FF2C7D" w:rsidRDefault="00FF2C7D"/>
          <w:p w:rsidR="00FF2C7D" w:rsidRDefault="0028037C">
            <w:pPr>
              <w:spacing w:after="0" w:line="276" w:lineRule="auto"/>
              <w:jc w:val="center"/>
            </w:pPr>
            <w:r>
              <w:rPr>
                <w:rFonts w:ascii="Times New Roman" w:eastAsia="Times New Roman" w:hAnsi="Times New Roman" w:cs="Times New Roman"/>
                <w:b/>
                <w:sz w:val="26"/>
              </w:rPr>
              <w:t>Phí, lệ phí</w:t>
            </w:r>
          </w:p>
        </w:tc>
        <w:tc>
          <w:tcPr>
            <w:tcW w:w="3000" w:type="dxa"/>
          </w:tcPr>
          <w:p w:rsidR="00FF2C7D" w:rsidRDefault="00FF2C7D"/>
          <w:p w:rsidR="00FF2C7D" w:rsidRDefault="0028037C">
            <w:pPr>
              <w:spacing w:after="0" w:line="276" w:lineRule="auto"/>
              <w:jc w:val="center"/>
            </w:pPr>
            <w:r>
              <w:rPr>
                <w:rFonts w:ascii="Times New Roman" w:eastAsia="Times New Roman" w:hAnsi="Times New Roman" w:cs="Times New Roman"/>
                <w:b/>
                <w:sz w:val="26"/>
              </w:rPr>
              <w:t>Mô tả</w:t>
            </w:r>
          </w:p>
        </w:tc>
      </w:tr>
      <w:tr w:rsidR="00FF2C7D">
        <w:tblPrEx>
          <w:tblCellMar>
            <w:top w:w="0" w:type="dxa"/>
            <w:bottom w:w="0" w:type="dxa"/>
          </w:tblCellMar>
        </w:tblPrEx>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Trực tiếp</w:t>
            </w:r>
          </w:p>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03 Ngày làm việc</w:t>
            </w:r>
          </w:p>
        </w:tc>
        <w:tc>
          <w:tcPr>
            <w:tcW w:w="0" w:type="auto"/>
          </w:tcPr>
          <w:p w:rsidR="00FF2C7D" w:rsidRDefault="00FF2C7D"/>
          <w:p w:rsidR="00FF2C7D" w:rsidRDefault="00FF2C7D">
            <w:pPr>
              <w:spacing w:after="0" w:line="276" w:lineRule="auto"/>
            </w:pPr>
          </w:p>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Kể từ khi Chủ tịch Ủy ban nhân dân cấp huyện nhận được đề nghị của Chủ tịch Ủy ban nhân dân cấp xã</w:t>
            </w:r>
          </w:p>
        </w:tc>
      </w:tr>
      <w:tr w:rsidR="00FF2C7D">
        <w:tblPrEx>
          <w:tblCellMar>
            <w:top w:w="0" w:type="dxa"/>
            <w:bottom w:w="0" w:type="dxa"/>
          </w:tblCellMar>
        </w:tblPrEx>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Trực tuyến</w:t>
            </w:r>
          </w:p>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03 Ngày làm việc</w:t>
            </w:r>
          </w:p>
        </w:tc>
        <w:tc>
          <w:tcPr>
            <w:tcW w:w="0" w:type="auto"/>
          </w:tcPr>
          <w:p w:rsidR="00FF2C7D" w:rsidRDefault="00FF2C7D"/>
          <w:p w:rsidR="00FF2C7D" w:rsidRDefault="00FF2C7D">
            <w:pPr>
              <w:spacing w:after="0" w:line="276" w:lineRule="auto"/>
            </w:pPr>
          </w:p>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Kể từ khi Chủ tịch Ủy ban</w:t>
            </w:r>
            <w:r>
              <w:rPr>
                <w:rFonts w:ascii="Times New Roman" w:eastAsia="Times New Roman" w:hAnsi="Times New Roman" w:cs="Times New Roman"/>
                <w:sz w:val="26"/>
              </w:rPr>
              <w:t xml:space="preserve"> nhân dân cấp huyện nhận được đề nghị của Chủ tịch Ủy ban nhân dân cấp xã (nếu điều kiện cho phép).</w:t>
            </w:r>
          </w:p>
        </w:tc>
      </w:tr>
      <w:tr w:rsidR="00FF2C7D">
        <w:tblPrEx>
          <w:tblCellMar>
            <w:top w:w="0" w:type="dxa"/>
            <w:bottom w:w="0" w:type="dxa"/>
          </w:tblCellMar>
        </w:tblPrEx>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Dịch vụ bưu chính</w:t>
            </w:r>
          </w:p>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03 Ngày làm việc</w:t>
            </w:r>
          </w:p>
        </w:tc>
        <w:tc>
          <w:tcPr>
            <w:tcW w:w="0" w:type="auto"/>
          </w:tcPr>
          <w:p w:rsidR="00FF2C7D" w:rsidRDefault="00FF2C7D"/>
          <w:p w:rsidR="00FF2C7D" w:rsidRDefault="00FF2C7D">
            <w:pPr>
              <w:spacing w:after="0" w:line="276" w:lineRule="auto"/>
            </w:pPr>
          </w:p>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Kể từ khi Chủ tịch Ủy ban nhân dân cấp huyện nhận được đề nghị của Chủ tịch Ủy ban nhân dân cấp xã</w:t>
            </w:r>
          </w:p>
        </w:tc>
      </w:tr>
    </w:tbl>
    <w:p w:rsidR="00FF2C7D" w:rsidRDefault="0028037C">
      <w:pPr>
        <w:spacing w:before="240" w:after="0" w:line="276" w:lineRule="auto"/>
        <w:jc w:val="both"/>
      </w:pPr>
      <w:r>
        <w:rPr>
          <w:rFonts w:ascii="Times New Roman" w:eastAsia="Times New Roman" w:hAnsi="Times New Roman" w:cs="Times New Roman"/>
          <w:b/>
          <w:sz w:val="26"/>
        </w:rPr>
        <w:t xml:space="preserve">Thành phần hồ sơ: </w:t>
      </w:r>
    </w:p>
    <w:p w:rsidR="00FF2C7D" w:rsidRDefault="0028037C">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156"/>
        <w:gridCol w:w="1191"/>
        <w:gridCol w:w="1064"/>
      </w:tblGrid>
      <w:tr w:rsidR="00FF2C7D">
        <w:tblPrEx>
          <w:tblCellMar>
            <w:top w:w="0" w:type="dxa"/>
            <w:bottom w:w="0" w:type="dxa"/>
          </w:tblCellMar>
        </w:tblPrEx>
        <w:tc>
          <w:tcPr>
            <w:tcW w:w="6000" w:type="dxa"/>
          </w:tcPr>
          <w:p w:rsidR="00FF2C7D" w:rsidRDefault="00FF2C7D"/>
          <w:p w:rsidR="00FF2C7D" w:rsidRDefault="0028037C">
            <w:pPr>
              <w:spacing w:after="0" w:line="276" w:lineRule="auto"/>
              <w:jc w:val="center"/>
            </w:pPr>
            <w:r>
              <w:rPr>
                <w:rFonts w:ascii="Times New Roman" w:eastAsia="Times New Roman" w:hAnsi="Times New Roman" w:cs="Times New Roman"/>
                <w:b/>
                <w:sz w:val="26"/>
              </w:rPr>
              <w:t>Tên giấy tờ</w:t>
            </w:r>
          </w:p>
        </w:tc>
        <w:tc>
          <w:tcPr>
            <w:tcW w:w="2000" w:type="dxa"/>
          </w:tcPr>
          <w:p w:rsidR="00FF2C7D" w:rsidRDefault="00FF2C7D"/>
          <w:p w:rsidR="00FF2C7D" w:rsidRDefault="0028037C">
            <w:pPr>
              <w:spacing w:after="0" w:line="276" w:lineRule="auto"/>
              <w:jc w:val="center"/>
            </w:pPr>
            <w:r>
              <w:rPr>
                <w:rFonts w:ascii="Times New Roman" w:eastAsia="Times New Roman" w:hAnsi="Times New Roman" w:cs="Times New Roman"/>
                <w:b/>
                <w:sz w:val="26"/>
              </w:rPr>
              <w:t>Mẫu đơn, tờ khai</w:t>
            </w:r>
          </w:p>
        </w:tc>
        <w:tc>
          <w:tcPr>
            <w:tcW w:w="2000" w:type="dxa"/>
          </w:tcPr>
          <w:p w:rsidR="00FF2C7D" w:rsidRDefault="00FF2C7D"/>
          <w:p w:rsidR="00FF2C7D" w:rsidRDefault="0028037C">
            <w:pPr>
              <w:spacing w:after="0" w:line="276" w:lineRule="auto"/>
              <w:jc w:val="center"/>
            </w:pPr>
            <w:r>
              <w:rPr>
                <w:rFonts w:ascii="Times New Roman" w:eastAsia="Times New Roman" w:hAnsi="Times New Roman" w:cs="Times New Roman"/>
                <w:b/>
                <w:sz w:val="26"/>
              </w:rPr>
              <w:t>Số lượng</w:t>
            </w:r>
          </w:p>
        </w:tc>
      </w:tr>
      <w:tr w:rsidR="00FF2C7D">
        <w:tblPrEx>
          <w:tblCellMar>
            <w:top w:w="0" w:type="dxa"/>
            <w:bottom w:w="0" w:type="dxa"/>
          </w:tblCellMar>
        </w:tblPrEx>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Tờ khai đề nghị hỗ trợ chi phí mai táng (theo Mẫu số 04 ban hành kèm theo Nghị định số 20/2021/NĐ-CP);</w:t>
            </w:r>
          </w:p>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Mau so 04.docx</w:t>
            </w:r>
          </w:p>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F2C7D">
        <w:tblPrEx>
          <w:tblCellMar>
            <w:top w:w="0" w:type="dxa"/>
            <w:bottom w:w="0" w:type="dxa"/>
          </w:tblCellMar>
        </w:tblPrEx>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Giấy báo tử của đối tượng đối với trường</w:t>
            </w:r>
            <w:r>
              <w:rPr>
                <w:rFonts w:ascii="Times New Roman" w:eastAsia="Times New Roman" w:hAnsi="Times New Roman" w:cs="Times New Roman"/>
                <w:sz w:val="26"/>
              </w:rPr>
              <w:t xml:space="preserve"> hợp hộ gia đình có người chết, mất tích do thiên tai, hỏa hoạn, dịch bệnh; tai nạn giao thông, tai nạn lao động nghiêm trọng hoặc các lý do bất khả kháng khác</w:t>
            </w:r>
          </w:p>
        </w:tc>
        <w:tc>
          <w:tcPr>
            <w:tcW w:w="0" w:type="auto"/>
          </w:tcPr>
          <w:p w:rsidR="00FF2C7D" w:rsidRDefault="00FF2C7D"/>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F2C7D">
        <w:tblPrEx>
          <w:tblCellMar>
            <w:top w:w="0" w:type="dxa"/>
            <w:bottom w:w="0" w:type="dxa"/>
          </w:tblCellMar>
        </w:tblPrEx>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 xml:space="preserve">Xác nhận của công an cấp xã đối với trường hợp cơ quan, tổ chức, cá </w:t>
            </w:r>
            <w:r>
              <w:rPr>
                <w:rFonts w:ascii="Times New Roman" w:eastAsia="Times New Roman" w:hAnsi="Times New Roman" w:cs="Times New Roman"/>
                <w:sz w:val="26"/>
              </w:rPr>
              <w:t>nhân tổ chức mai táng cho người chết do không có người nhận trách nhiệm tổ chức mai táng.</w:t>
            </w:r>
          </w:p>
        </w:tc>
        <w:tc>
          <w:tcPr>
            <w:tcW w:w="0" w:type="auto"/>
          </w:tcPr>
          <w:p w:rsidR="00FF2C7D" w:rsidRDefault="00FF2C7D"/>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FF2C7D" w:rsidRDefault="0028037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FF2C7D" w:rsidRDefault="0028037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Chủ tịch Ủy ban nhân dân cấp huyện, Ch</w:t>
      </w:r>
      <w:r>
        <w:rPr>
          <w:rFonts w:ascii="Times New Roman" w:eastAsia="Times New Roman" w:hAnsi="Times New Roman" w:cs="Times New Roman"/>
          <w:sz w:val="26"/>
        </w:rPr>
        <w:t>ủ tịch Ủy ban nhân dân xã</w:t>
      </w:r>
    </w:p>
    <w:p w:rsidR="00FF2C7D" w:rsidRDefault="0028037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FF2C7D" w:rsidRDefault="0028037C">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w:t>
      </w:r>
    </w:p>
    <w:p w:rsidR="00FF2C7D" w:rsidRDefault="0028037C">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FF2C7D" w:rsidRDefault="0028037C">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FF2C7D" w:rsidRDefault="0028037C">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hỗ trợ chi phí mai táng.</w:t>
      </w:r>
    </w:p>
    <w:p w:rsidR="00FF2C7D" w:rsidRDefault="0028037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676"/>
        <w:gridCol w:w="5009"/>
        <w:gridCol w:w="1007"/>
        <w:gridCol w:w="1719"/>
      </w:tblGrid>
      <w:tr w:rsidR="00FF2C7D">
        <w:tblPrEx>
          <w:tblCellMar>
            <w:top w:w="0" w:type="dxa"/>
            <w:bottom w:w="0" w:type="dxa"/>
          </w:tblCellMar>
        </w:tblPrEx>
        <w:tc>
          <w:tcPr>
            <w:tcW w:w="2000" w:type="dxa"/>
          </w:tcPr>
          <w:p w:rsidR="00FF2C7D" w:rsidRDefault="00FF2C7D"/>
          <w:p w:rsidR="00FF2C7D" w:rsidRDefault="0028037C">
            <w:pPr>
              <w:spacing w:after="0" w:line="276" w:lineRule="auto"/>
              <w:jc w:val="center"/>
            </w:pPr>
            <w:r>
              <w:rPr>
                <w:rFonts w:ascii="Times New Roman" w:eastAsia="Times New Roman" w:hAnsi="Times New Roman" w:cs="Times New Roman"/>
                <w:b/>
                <w:sz w:val="26"/>
              </w:rPr>
              <w:t>Số ký hiệu</w:t>
            </w:r>
          </w:p>
        </w:tc>
        <w:tc>
          <w:tcPr>
            <w:tcW w:w="3500" w:type="dxa"/>
          </w:tcPr>
          <w:p w:rsidR="00FF2C7D" w:rsidRDefault="00FF2C7D"/>
          <w:p w:rsidR="00FF2C7D" w:rsidRDefault="0028037C">
            <w:pPr>
              <w:spacing w:after="0" w:line="276" w:lineRule="auto"/>
              <w:jc w:val="center"/>
            </w:pPr>
            <w:r>
              <w:rPr>
                <w:rFonts w:ascii="Times New Roman" w:eastAsia="Times New Roman" w:hAnsi="Times New Roman" w:cs="Times New Roman"/>
                <w:b/>
                <w:sz w:val="26"/>
              </w:rPr>
              <w:t>Trích yếu</w:t>
            </w:r>
          </w:p>
        </w:tc>
        <w:tc>
          <w:tcPr>
            <w:tcW w:w="1500" w:type="dxa"/>
          </w:tcPr>
          <w:p w:rsidR="00FF2C7D" w:rsidRDefault="00FF2C7D"/>
          <w:p w:rsidR="00FF2C7D" w:rsidRDefault="0028037C">
            <w:pPr>
              <w:spacing w:after="0" w:line="276" w:lineRule="auto"/>
              <w:jc w:val="center"/>
            </w:pPr>
            <w:r>
              <w:rPr>
                <w:rFonts w:ascii="Times New Roman" w:eastAsia="Times New Roman" w:hAnsi="Times New Roman" w:cs="Times New Roman"/>
                <w:b/>
                <w:sz w:val="26"/>
              </w:rPr>
              <w:t>Ngày ban hành</w:t>
            </w:r>
          </w:p>
        </w:tc>
        <w:tc>
          <w:tcPr>
            <w:tcW w:w="3000" w:type="dxa"/>
          </w:tcPr>
          <w:p w:rsidR="00FF2C7D" w:rsidRDefault="00FF2C7D"/>
          <w:p w:rsidR="00FF2C7D" w:rsidRDefault="0028037C">
            <w:pPr>
              <w:spacing w:after="0" w:line="276" w:lineRule="auto"/>
              <w:jc w:val="center"/>
            </w:pPr>
            <w:r>
              <w:rPr>
                <w:rFonts w:ascii="Times New Roman" w:eastAsia="Times New Roman" w:hAnsi="Times New Roman" w:cs="Times New Roman"/>
                <w:b/>
                <w:sz w:val="26"/>
              </w:rPr>
              <w:t>Cơ quan ban hành</w:t>
            </w:r>
          </w:p>
        </w:tc>
      </w:tr>
      <w:tr w:rsidR="00FF2C7D">
        <w:tblPrEx>
          <w:tblCellMar>
            <w:top w:w="0" w:type="dxa"/>
            <w:bottom w:w="0" w:type="dxa"/>
          </w:tblCellMar>
        </w:tblPrEx>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20/2021/NĐ-CP</w:t>
            </w:r>
          </w:p>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QUY ĐỊNH CHÍNH SÁCH TRỢ GIÚP XÃ HỘI ĐỐI VỚI ĐỐI TƯỢNG BẢO TRỢ XÃ HỘI</w:t>
            </w:r>
          </w:p>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15-03-2021</w:t>
            </w:r>
          </w:p>
        </w:tc>
        <w:tc>
          <w:tcPr>
            <w:tcW w:w="0" w:type="auto"/>
          </w:tcPr>
          <w:p w:rsidR="00FF2C7D" w:rsidRDefault="00FF2C7D"/>
          <w:p w:rsidR="00FF2C7D" w:rsidRDefault="0028037C">
            <w:pPr>
              <w:spacing w:after="0" w:line="276" w:lineRule="auto"/>
            </w:pPr>
            <w:r>
              <w:rPr>
                <w:rFonts w:ascii="Times New Roman" w:eastAsia="Times New Roman" w:hAnsi="Times New Roman" w:cs="Times New Roman"/>
                <w:sz w:val="26"/>
              </w:rPr>
              <w:t>Chính phủ</w:t>
            </w:r>
          </w:p>
        </w:tc>
      </w:tr>
    </w:tbl>
    <w:p w:rsidR="00FF2C7D" w:rsidRDefault="0028037C">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Đối tượng được hỗ trợ chi phí mai táng: Hộ </w:t>
      </w:r>
      <w:r>
        <w:rPr>
          <w:rFonts w:ascii="Times New Roman" w:eastAsia="Times New Roman" w:hAnsi="Times New Roman" w:cs="Times New Roman"/>
          <w:sz w:val="26"/>
        </w:rPr>
        <w:t xml:space="preserve">gia đình có người chết, mất tích do thiên tai, hỏa hoạn, dịch bệnh; tai nạn giao thông, tai nạn lao động nghiêm trọng hoặc các lý do bất khả kháng khác. Cơ quan, tổ chức, cá nhân tổ chức mai </w:t>
      </w:r>
      <w:r>
        <w:rPr>
          <w:rFonts w:ascii="Times New Roman" w:eastAsia="Times New Roman" w:hAnsi="Times New Roman" w:cs="Times New Roman"/>
          <w:sz w:val="26"/>
        </w:rPr>
        <w:lastRenderedPageBreak/>
        <w:t>táng cho người chết quy định tại khoản 1 Điều 14 nghị định số 20/</w:t>
      </w:r>
      <w:r>
        <w:rPr>
          <w:rFonts w:ascii="Times New Roman" w:eastAsia="Times New Roman" w:hAnsi="Times New Roman" w:cs="Times New Roman"/>
          <w:sz w:val="26"/>
        </w:rPr>
        <w:t>2021/NĐ-CP do không có người nhận trách nhiệm tổ chức mai táng.</w:t>
      </w:r>
    </w:p>
    <w:p w:rsidR="00FF2C7D" w:rsidRDefault="0028037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FF2C7D" w:rsidRDefault="0028037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FF2C7D">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7D"/>
    <w:rsid w:val="0028037C"/>
    <w:rsid w:val="00FF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831FA-AF1D-46D9-8A94-73D5F36E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2024-03-06T01:45:00Z</dcterms:created>
  <dcterms:modified xsi:type="dcterms:W3CDTF">2024-03-06T01:45:00Z</dcterms:modified>
</cp:coreProperties>
</file>